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161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4"/>
        <w:gridCol w:w="1002"/>
        <w:gridCol w:w="710"/>
        <w:gridCol w:w="838"/>
        <w:gridCol w:w="1792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37" w:type="dxa"/>
            <w:gridSpan w:val="7"/>
          </w:tcPr>
          <w:p>
            <w:pPr>
              <w:jc w:val="center"/>
            </w:pPr>
            <w:r>
              <w:rPr>
                <w:rStyle w:val="5"/>
                <w:rFonts w:hint="eastAsia"/>
                <w:color w:val="000000"/>
                <w:sz w:val="28"/>
                <w:szCs w:val="28"/>
                <w:shd w:val="clear" w:color="auto" w:fill="FFFFFF"/>
              </w:rPr>
              <w:t>惠亚医院医疗卫生事务法律顾问报价表（***律师事务所）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法律顾问类别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签订1年法律顾问合同的报价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主办律师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协办律师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其他成员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7"/>
          </w:tcPr>
          <w:p>
            <w:r>
              <w:rPr>
                <w:rFonts w:hint="eastAsia"/>
              </w:rPr>
              <w:t>填表说明：案件代理另行协商收费金额和签订委托代理合同。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B3"/>
    <w:rsid w:val="003B1BE1"/>
    <w:rsid w:val="004712B3"/>
    <w:rsid w:val="00CC6273"/>
    <w:rsid w:val="20615E0D"/>
    <w:rsid w:val="2CBB7261"/>
    <w:rsid w:val="76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5117F-CEB9-46E7-9256-09B1D9E8D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18</TotalTime>
  <ScaleCrop>false</ScaleCrop>
  <LinksUpToDate>false</LinksUpToDate>
  <CharactersWithSpaces>161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2018-07-16T07:45:00Z</dcterms:created>
  <dc:creator>宋宜鹃</dc:creator>
  <cp:lastModifiedBy>Administrator</cp:lastModifiedBy>
  <dcterms:modified xsi:type="dcterms:W3CDTF">2018-07-17T00:32:32Z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