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ind w:left="0" w:right="864"/>
        <w:jc w:val="both"/>
        <w:rPr>
          <w:rFonts w:hint="default" w:asciiTheme="majorEastAsia" w:hAnsiTheme="majorEastAsia" w:eastAsiaTheme="majorEastAsia" w:cstheme="majorEastAsia"/>
          <w:b/>
          <w:sz w:val="36"/>
          <w:szCs w:val="36"/>
          <w:lang w:val="en-US" w:eastAsia="zh-CN"/>
        </w:rPr>
      </w:pPr>
      <w:bookmarkStart w:id="0" w:name="_GoBack"/>
      <w:bookmarkEnd w:id="0"/>
      <w:r>
        <w:rPr>
          <w:rFonts w:hint="eastAsia" w:asciiTheme="majorEastAsia" w:hAnsiTheme="majorEastAsia" w:eastAsiaTheme="majorEastAsia" w:cstheme="majorEastAsia"/>
          <w:b/>
          <w:sz w:val="48"/>
          <w:szCs w:val="48"/>
        </w:rPr>
        <w:t>附件一</w:t>
      </w:r>
      <w:r>
        <w:rPr>
          <w:rFonts w:hint="eastAsia" w:asciiTheme="majorEastAsia" w:hAnsiTheme="majorEastAsia" w:eastAsiaTheme="majorEastAsia" w:cstheme="majorEastAsia"/>
          <w:b/>
          <w:sz w:val="48"/>
          <w:szCs w:val="48"/>
          <w:lang w:val="en-US" w:eastAsia="zh-CN"/>
        </w:rPr>
        <w:t xml:space="preserve">      </w:t>
      </w:r>
      <w:r>
        <w:rPr>
          <w:rFonts w:hint="eastAsia" w:asciiTheme="majorEastAsia" w:hAnsiTheme="majorEastAsia" w:eastAsiaTheme="majorEastAsia" w:cstheme="majorEastAsia"/>
          <w:b/>
          <w:sz w:val="36"/>
          <w:szCs w:val="36"/>
          <w:lang w:val="en-US" w:eastAsia="zh-CN"/>
        </w:rPr>
        <w:t>采购项目规格、参数及要求</w:t>
      </w:r>
    </w:p>
    <w:p>
      <w:pPr>
        <w:pStyle w:val="2"/>
        <w:spacing w:before="276"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总则</w:t>
      </w:r>
    </w:p>
    <w:p>
      <w:pPr>
        <w:pStyle w:val="9"/>
        <w:tabs>
          <w:tab w:val="left" w:pos="852"/>
        </w:tabs>
        <w:spacing w:before="141"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项目名称：惠州市中大惠亚医院门诊客服中心采购项目。</w:t>
      </w:r>
    </w:p>
    <w:p>
      <w:pPr>
        <w:pStyle w:val="9"/>
        <w:tabs>
          <w:tab w:val="left" w:pos="852"/>
        </w:tabs>
        <w:spacing w:before="139"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项目地点：采购人指定地点。</w:t>
      </w:r>
    </w:p>
    <w:p>
      <w:pPr>
        <w:pStyle w:val="9"/>
        <w:tabs>
          <w:tab w:val="left" w:pos="852"/>
        </w:tabs>
        <w:spacing w:before="139"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服务期：3年(具体时间以双方签订的合同为准)。</w:t>
      </w:r>
    </w:p>
    <w:p>
      <w:pPr>
        <w:pStyle w:val="9"/>
        <w:tabs>
          <w:tab w:val="left" w:pos="852"/>
        </w:tabs>
        <w:spacing w:before="141"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rPr>
        <w:t>中标人不得以任何方式转包或分包本项目，本项目不接受联合体报价。</w:t>
      </w:r>
    </w:p>
    <w:p>
      <w:pPr>
        <w:pStyle w:val="9"/>
        <w:tabs>
          <w:tab w:val="left" w:pos="852"/>
        </w:tabs>
        <w:spacing w:before="141"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本次采购确定</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家中标人资格，双方签订合同协议后，按照综合得分（由高到低）排名顺序确定入围资格为采购人提供劳务服务，中标人承包及负责招标文件对中标人要求的一切事宜及责任。</w:t>
      </w:r>
    </w:p>
    <w:p>
      <w:pPr>
        <w:pStyle w:val="9"/>
        <w:tabs>
          <w:tab w:val="left" w:pos="852"/>
        </w:tabs>
        <w:spacing w:before="141" w:line="360" w:lineRule="auto"/>
        <w:ind w:left="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rPr>
        <w:t>本项目投标报价应包括：中标人派驻人员工资、福利、保险、服装、通信工具、社保、医保、劳保用品、防护用品及完成该项目所需工具、一切税费等招标文件要求的所有费用。</w:t>
      </w:r>
    </w:p>
    <w:p>
      <w:pPr>
        <w:pStyle w:val="9"/>
        <w:tabs>
          <w:tab w:val="left" w:pos="852"/>
        </w:tabs>
        <w:spacing w:before="141" w:line="360" w:lineRule="auto"/>
        <w:ind w:left="640"/>
        <w:rPr>
          <w:rFonts w:asciiTheme="minorEastAsia" w:hAnsiTheme="minorEastAsia" w:eastAsiaTheme="minorEastAsia" w:cstheme="minorEastAsia"/>
          <w:sz w:val="28"/>
          <w:szCs w:val="28"/>
        </w:rPr>
      </w:pPr>
    </w:p>
    <w:p>
      <w:pPr>
        <w:pStyle w:val="3"/>
        <w:numPr>
          <w:ilvl w:val="-1"/>
          <w:numId w:val="0"/>
        </w:numPr>
        <w:spacing w:line="560" w:lineRule="exact"/>
        <w:ind w:firstLine="0"/>
        <w:rPr>
          <w:rFonts w:hint="eastAsia" w:ascii="宋体" w:hAnsi="宋体"/>
          <w:b/>
          <w:sz w:val="24"/>
        </w:rPr>
      </w:pPr>
      <w:r>
        <w:rPr>
          <w:rFonts w:hint="eastAsia"/>
          <w:b/>
          <w:sz w:val="24"/>
          <w:lang w:eastAsia="zh-CN"/>
        </w:rPr>
        <w:t>一、</w:t>
      </w:r>
      <w:r>
        <w:rPr>
          <w:rFonts w:hint="eastAsia" w:ascii="宋体" w:hAnsi="宋体"/>
          <w:b/>
          <w:sz w:val="24"/>
        </w:rPr>
        <w:t>项目概述如下：</w:t>
      </w:r>
    </w:p>
    <w:p>
      <w:pPr>
        <w:pStyle w:val="3"/>
        <w:widowControl/>
        <w:numPr>
          <w:ilvl w:val="0"/>
          <w:numId w:val="0"/>
        </w:numPr>
        <w:spacing w:line="560" w:lineRule="exact"/>
        <w:ind w:firstLine="482" w:firstLineChars="200"/>
        <w:rPr>
          <w:rFonts w:hint="eastAsia" w:asciiTheme="minorEastAsia" w:hAnsiTheme="minorEastAsia" w:eastAsiaTheme="minorEastAsia" w:cstheme="minorEastAsia"/>
          <w:sz w:val="28"/>
          <w:szCs w:val="28"/>
        </w:rPr>
      </w:pPr>
      <w:r>
        <w:rPr>
          <w:rFonts w:hint="eastAsia" w:ascii="宋体" w:hAnsi="宋体"/>
          <w:b/>
          <w:sz w:val="24"/>
        </w:rPr>
        <w:t xml:space="preserve"> </w:t>
      </w:r>
      <w:r>
        <w:rPr>
          <w:rFonts w:hint="eastAsia"/>
          <w:b/>
          <w:sz w:val="24"/>
          <w:lang w:val="en-US" w:eastAsia="zh-CN"/>
        </w:rPr>
        <w:t>1、</w:t>
      </w:r>
      <w:r>
        <w:rPr>
          <w:rFonts w:hint="eastAsia" w:ascii="宋体" w:hAnsi="宋体"/>
          <w:b/>
          <w:sz w:val="24"/>
        </w:rPr>
        <w:t>总体概况：</w:t>
      </w:r>
      <w:r>
        <w:rPr>
          <w:rFonts w:hint="eastAsia" w:asciiTheme="minorEastAsia" w:hAnsiTheme="minorEastAsia" w:eastAsiaTheme="minorEastAsia" w:cstheme="minorEastAsia"/>
          <w:sz w:val="28"/>
          <w:szCs w:val="28"/>
        </w:rPr>
        <w:t>惠州市中大惠亚医院开放床</w:t>
      </w:r>
      <w:r>
        <w:rPr>
          <w:rFonts w:hint="eastAsia" w:asciiTheme="minorEastAsia" w:hAnsiTheme="minorEastAsia" w:eastAsiaTheme="minorEastAsia" w:cstheme="minorEastAsia"/>
          <w:sz w:val="28"/>
          <w:szCs w:val="28"/>
          <w:lang w:eastAsia="zh-CN"/>
        </w:rPr>
        <w:t>位</w:t>
      </w:r>
      <w:r>
        <w:rPr>
          <w:rFonts w:hint="eastAsia" w:asciiTheme="minorEastAsia" w:hAnsiTheme="minorEastAsia" w:eastAsiaTheme="minorEastAsia" w:cstheme="minorEastAsia"/>
          <w:sz w:val="28"/>
          <w:szCs w:val="28"/>
        </w:rPr>
        <w:t xml:space="preserve"> 534张，设有门诊部、住院部、行政楼、后勤配套用房等几个主体功能区域，日门急诊量约 1700人次，是一所集医疗、预防、教学、科研、康复为一体的三级综合性医院。为了改善医院门诊导医的服务质量和患者的就医体验，提高患者满意度。现医院拟成立客服中心，需要导诊和文员参与医院工作的服务。</w:t>
      </w:r>
    </w:p>
    <w:p>
      <w:pPr>
        <w:widowControl/>
        <w:spacing w:line="360" w:lineRule="auto"/>
        <w:ind w:firstLine="0" w:firstLineChars="0"/>
        <w:rPr>
          <w:rFonts w:hint="eastAsia" w:asciiTheme="minorEastAsia" w:hAnsiTheme="minorEastAsia" w:eastAsiaTheme="minorEastAsia" w:cstheme="minorEastAsia"/>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服务项目人员配置及要求</w:t>
      </w:r>
    </w:p>
    <w:tbl>
      <w:tblPr>
        <w:tblStyle w:val="6"/>
        <w:tblW w:w="9825" w:type="dxa"/>
        <w:tblInd w:w="0" w:type="dxa"/>
        <w:shd w:val="clear" w:color="auto" w:fill="auto"/>
        <w:tblLayout w:type="fixed"/>
        <w:tblCellMar>
          <w:top w:w="0" w:type="dxa"/>
          <w:left w:w="0" w:type="dxa"/>
          <w:bottom w:w="0" w:type="dxa"/>
          <w:right w:w="0" w:type="dxa"/>
        </w:tblCellMar>
      </w:tblPr>
      <w:tblGrid>
        <w:gridCol w:w="495"/>
        <w:gridCol w:w="510"/>
        <w:gridCol w:w="840"/>
        <w:gridCol w:w="945"/>
        <w:gridCol w:w="1005"/>
        <w:gridCol w:w="735"/>
        <w:gridCol w:w="450"/>
        <w:gridCol w:w="4845"/>
      </w:tblGrid>
      <w:tr>
        <w:tblPrEx>
          <w:shd w:val="clear" w:color="auto" w:fill="auto"/>
          <w:tblCellMar>
            <w:top w:w="0" w:type="dxa"/>
            <w:left w:w="0" w:type="dxa"/>
            <w:bottom w:w="0" w:type="dxa"/>
            <w:right w:w="0" w:type="dxa"/>
          </w:tblCellMar>
        </w:tblPrEx>
        <w:trPr>
          <w:trHeight w:val="1035" w:hRule="atLeast"/>
        </w:trPr>
        <w:tc>
          <w:tcPr>
            <w:tcW w:w="9825"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惠州市中大惠亚医院导诊人员以及文员配置表</w:t>
            </w:r>
          </w:p>
        </w:tc>
      </w:tr>
      <w:tr>
        <w:tblPrEx>
          <w:tblCellMar>
            <w:top w:w="0" w:type="dxa"/>
            <w:left w:w="0" w:type="dxa"/>
            <w:bottom w:w="0" w:type="dxa"/>
            <w:right w:w="0" w:type="dxa"/>
          </w:tblCellMar>
        </w:tblPrEx>
        <w:trPr>
          <w:trHeight w:val="8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科室/区域位置</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执行日</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工作时段</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小时/天</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岗位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岗位职责简述</w:t>
            </w:r>
          </w:p>
        </w:tc>
      </w:tr>
      <w:tr>
        <w:tblPrEx>
          <w:tblCellMar>
            <w:top w:w="0" w:type="dxa"/>
            <w:left w:w="0" w:type="dxa"/>
            <w:bottom w:w="0" w:type="dxa"/>
            <w:right w:w="0" w:type="dxa"/>
          </w:tblCellMar>
        </w:tblPrEx>
        <w:trPr>
          <w:trHeight w:val="15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全院</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全年（含节假日）</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1）负责现场服务质量管理；2） 人员的日常培训指导；3）安排工作岗位；4） 协调日常工作问题；5） 协调处理诊区突发事件。</w:t>
            </w:r>
          </w:p>
        </w:tc>
      </w:tr>
      <w:tr>
        <w:tblPrEx>
          <w:tblCellMar>
            <w:top w:w="0" w:type="dxa"/>
            <w:left w:w="0" w:type="dxa"/>
            <w:bottom w:w="0" w:type="dxa"/>
            <w:right w:w="0" w:type="dxa"/>
          </w:tblCellMar>
        </w:tblPrEx>
        <w:trPr>
          <w:trHeight w:val="26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综合服务台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承担来院所有来院人群的服务需求项目，包括但不限于以下工作：①门诊咨询分诊分流引导服务，回答患者咨询各类问题，指引就诊科室路径。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②指引轮椅租借服务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③指导患者填写就诊相关的表格和资料。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④患者投诉预处理及协调。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⑤满意度回访记录，资料整理及时上交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⑥服务台的物资维护与管理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⑦电话咨询等</w:t>
            </w:r>
          </w:p>
        </w:tc>
      </w:tr>
      <w:tr>
        <w:tblPrEx>
          <w:tblCellMar>
            <w:top w:w="0" w:type="dxa"/>
            <w:left w:w="0" w:type="dxa"/>
            <w:bottom w:w="0" w:type="dxa"/>
            <w:right w:w="0" w:type="dxa"/>
          </w:tblCellMar>
        </w:tblPrEx>
        <w:trPr>
          <w:trHeight w:val="264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体检中心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1、体检中心前台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按科室工作日，节假日跟随体检中心日期值班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包括但不限于以下工作：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1）指引客户选择各类体检套餐，协助打印体检指引单。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2）指导微信预约、查看粤康码、测量体温。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维护体检大厅客户排队秩序，及时指引分流，协助特殊行动不便客户完成体检各项目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4）协助补充大厅区域体检用物，发放早餐、分发体检报告。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5）协助客户测量身高、体重、视力、血压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6）协助医院会议礼仪工作等</w:t>
            </w:r>
          </w:p>
        </w:tc>
      </w:tr>
      <w:tr>
        <w:tblPrEx>
          <w:tblCellMar>
            <w:top w:w="0" w:type="dxa"/>
            <w:left w:w="0" w:type="dxa"/>
            <w:bottom w:w="0" w:type="dxa"/>
            <w:right w:w="0" w:type="dxa"/>
          </w:tblCellMar>
        </w:tblPrEx>
        <w:trPr>
          <w:trHeight w:val="22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2、文员</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1）协助发放早餐、分发体检报告。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2）为客户查询报告进度，当天报告未能发出时，需做好报告跟进。跟进有困难者直接与院方沟通。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3）将已完成总检的体检报告按要求打印并装订，交由审核医生签名并盖章，完成后通知客户取报告。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4）VIP客户的体检报告装订后送审核医生签名盖章，并为有需要的顾客统一通过邮递寄送。须时刻掌握报告接收情况。</w:t>
            </w:r>
          </w:p>
        </w:tc>
      </w:tr>
      <w:tr>
        <w:tblPrEx>
          <w:tblCellMar>
            <w:top w:w="0" w:type="dxa"/>
            <w:left w:w="0" w:type="dxa"/>
            <w:bottom w:w="0" w:type="dxa"/>
            <w:right w:w="0" w:type="dxa"/>
          </w:tblCellMar>
        </w:tblPrEx>
        <w:trPr>
          <w:trHeight w:val="15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1、文员</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按科室工作日，节假日跟随检验科日期值班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1）各类标本的接收、分拣、记录及清理。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2）检验结果的发放。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3）科室物资的申领及管理。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4）熟悉检验科的日常工作流程，对患者进行正确及时的指引。</w:t>
            </w:r>
          </w:p>
        </w:tc>
      </w:tr>
      <w:tr>
        <w:tblPrEx>
          <w:tblCellMar>
            <w:top w:w="0" w:type="dxa"/>
            <w:left w:w="0" w:type="dxa"/>
            <w:bottom w:w="0" w:type="dxa"/>
            <w:right w:w="0" w:type="dxa"/>
          </w:tblCellMar>
        </w:tblPrEx>
        <w:trPr>
          <w:trHeight w:val="177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导诊人员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1、急诊前台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全年（含节假日）</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包括但不限于以下工作：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1）负责急诊大厅区域及候诊区的区域指引，协助已输液患者带领至留观区。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2）自助机的使用引导。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3）协助通知出车单的梳理、汇总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4）协助做好流行病学问卷的审阅和打印等</w:t>
            </w:r>
          </w:p>
        </w:tc>
      </w:tr>
      <w:tr>
        <w:tblPrEx>
          <w:tblCellMar>
            <w:top w:w="0" w:type="dxa"/>
            <w:left w:w="0" w:type="dxa"/>
            <w:bottom w:w="0" w:type="dxa"/>
            <w:right w:w="0" w:type="dxa"/>
          </w:tblCellMar>
        </w:tblPrEx>
        <w:trPr>
          <w:trHeight w:val="178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2、门急诊预检分诊</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引导或协助客户就医相关服务。</w:t>
            </w:r>
          </w:p>
        </w:tc>
      </w:tr>
      <w:tr>
        <w:tblPrEx>
          <w:tblCellMar>
            <w:top w:w="0" w:type="dxa"/>
            <w:left w:w="0" w:type="dxa"/>
            <w:bottom w:w="0" w:type="dxa"/>
            <w:right w:w="0" w:type="dxa"/>
          </w:tblCellMar>
        </w:tblPrEx>
        <w:trPr>
          <w:trHeight w:val="118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3、门诊1、2、3层</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4、发热门诊</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0:00-24:00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1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5、二楼采血室</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1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6、内科门诊</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7:30-12:00；14:00-17:30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六、机动岗</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院方有需求时增派，日常不参与以上固定设置岗位的工作和服务费的计算。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医院需临时增加岗位及人员时，供应商按要求增派人员（不含紧急情况时的应急增援），医院根据实际工作时段、使用人员数和执勤总时数，按单价计算当月需增加的预算内服务费。</w:t>
            </w:r>
          </w:p>
        </w:tc>
      </w:tr>
    </w:tbl>
    <w:p>
      <w:pPr>
        <w:pStyle w:val="3"/>
        <w:widowControl/>
        <w:spacing w:line="560" w:lineRule="exact"/>
        <w:ind w:firstLine="562" w:firstLineChars="200"/>
        <w:rPr>
          <w:rFonts w:hint="eastAsia" w:ascii="仿宋_GB2312" w:eastAsia="仿宋_GB2312"/>
          <w:b/>
          <w:sz w:val="28"/>
          <w:szCs w:val="28"/>
          <w:lang w:eastAsia="zh-CN"/>
        </w:rPr>
      </w:pPr>
    </w:p>
    <w:p>
      <w:pPr>
        <w:pStyle w:val="3"/>
        <w:widowControl/>
        <w:spacing w:line="560" w:lineRule="exact"/>
        <w:ind w:firstLine="562" w:firstLineChars="200"/>
        <w:rPr>
          <w:rFonts w:hint="eastAsia" w:asciiTheme="minorEastAsia" w:hAnsiTheme="minorEastAsia" w:eastAsiaTheme="minorEastAsia" w:cstheme="minorEastAsia"/>
          <w:sz w:val="28"/>
          <w:szCs w:val="28"/>
        </w:rPr>
      </w:pPr>
      <w:r>
        <w:rPr>
          <w:rFonts w:hint="eastAsia" w:ascii="仿宋_GB2312" w:eastAsia="仿宋_GB2312"/>
          <w:b/>
          <w:sz w:val="28"/>
          <w:szCs w:val="28"/>
          <w:lang w:eastAsia="zh-CN"/>
        </w:rPr>
        <w:t>三、</w:t>
      </w:r>
      <w:r>
        <w:rPr>
          <w:rFonts w:hint="eastAsia" w:ascii="仿宋_GB2312" w:hAnsi="宋体" w:eastAsia="仿宋_GB2312"/>
          <w:b/>
          <w:sz w:val="28"/>
          <w:szCs w:val="28"/>
        </w:rPr>
        <w:t>具体技术参数</w:t>
      </w:r>
    </w:p>
    <w:p>
      <w:pPr>
        <w:pStyle w:val="2"/>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（一）服务内容</w:t>
      </w:r>
    </w:p>
    <w:p>
      <w:pPr>
        <w:pStyle w:val="9"/>
        <w:tabs>
          <w:tab w:val="left" w:pos="1001"/>
        </w:tabs>
        <w:spacing w:before="137" w:line="360" w:lineRule="auto"/>
        <w:ind w:left="787" w:right="595"/>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val="en-US"/>
        </w:rPr>
        <w:t>1、</w:t>
      </w:r>
      <w:r>
        <w:rPr>
          <w:rFonts w:hint="eastAsia" w:asciiTheme="minorEastAsia" w:hAnsiTheme="minorEastAsia" w:eastAsiaTheme="minorEastAsia" w:cstheme="minorEastAsia"/>
          <w:b/>
          <w:sz w:val="28"/>
          <w:szCs w:val="28"/>
        </w:rPr>
        <w:t>电话预约服务：</w:t>
      </w:r>
      <w:r>
        <w:rPr>
          <w:rFonts w:hint="eastAsia" w:asciiTheme="minorEastAsia" w:hAnsiTheme="minorEastAsia" w:eastAsiaTheme="minorEastAsia" w:cstheme="minorEastAsia"/>
          <w:sz w:val="28"/>
          <w:szCs w:val="28"/>
        </w:rPr>
        <w:t>中标人为客户提供电话预约服务，并根据客户需求预约专家，预约专家服务时间通知客户并做好客户反馈确认和专家短信提醒服务，并在预约时间前10分钟，做好预约双方的二次确认。中标人应提供相关信息服务系统支持。</w:t>
      </w:r>
    </w:p>
    <w:p>
      <w:pPr>
        <w:pStyle w:val="9"/>
        <w:tabs>
          <w:tab w:val="left" w:pos="1001"/>
        </w:tabs>
        <w:spacing w:line="360" w:lineRule="auto"/>
        <w:ind w:left="787" w:right="589"/>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val="en-US"/>
        </w:rPr>
        <w:t>2、</w:t>
      </w:r>
      <w:r>
        <w:rPr>
          <w:rFonts w:hint="eastAsia" w:asciiTheme="minorEastAsia" w:hAnsiTheme="minorEastAsia" w:eastAsiaTheme="minorEastAsia" w:cstheme="minorEastAsia"/>
          <w:b/>
          <w:sz w:val="28"/>
          <w:szCs w:val="28"/>
        </w:rPr>
        <w:t>门诊、体检中心导诊服务：</w:t>
      </w:r>
      <w:r>
        <w:rPr>
          <w:rFonts w:hint="eastAsia" w:asciiTheme="minorEastAsia" w:hAnsiTheme="minorEastAsia" w:eastAsiaTheme="minorEastAsia" w:cstheme="minorEastAsia"/>
          <w:sz w:val="28"/>
          <w:szCs w:val="28"/>
        </w:rPr>
        <w:t>中标人配备专职导诊人员，为客户门诊、体检中心就医到诊、特殊患者提供专人陪诊服务，并根据门诊区域客户的增减，适当增减人员以配置足够的服务人员，严格遵守和按照惠州市中大惠亚医院院内各项管理规定，为客户提供院内快捷优质服务。</w:t>
      </w:r>
    </w:p>
    <w:p>
      <w:pPr>
        <w:pStyle w:val="9"/>
        <w:tabs>
          <w:tab w:val="left" w:pos="1001"/>
        </w:tabs>
        <w:spacing w:line="360" w:lineRule="auto"/>
        <w:ind w:left="78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val="en-US"/>
        </w:rPr>
        <w:t>3、</w:t>
      </w:r>
      <w:r>
        <w:rPr>
          <w:rFonts w:hint="eastAsia" w:asciiTheme="minorEastAsia" w:hAnsiTheme="minorEastAsia" w:eastAsiaTheme="minorEastAsia" w:cstheme="minorEastAsia"/>
          <w:b/>
          <w:sz w:val="28"/>
          <w:szCs w:val="28"/>
        </w:rPr>
        <w:t>咨询和协助指引就诊相关网络服务：</w:t>
      </w:r>
      <w:r>
        <w:rPr>
          <w:rFonts w:hint="eastAsia" w:asciiTheme="minorEastAsia" w:hAnsiTheme="minorEastAsia" w:eastAsiaTheme="minorEastAsia" w:cstheme="minorEastAsia"/>
          <w:sz w:val="28"/>
          <w:szCs w:val="28"/>
        </w:rPr>
        <w:t>中标人根据客户需求提供相应的服务。</w:t>
      </w:r>
    </w:p>
    <w:p>
      <w:pPr>
        <w:pStyle w:val="9"/>
        <w:tabs>
          <w:tab w:val="left" w:pos="1001"/>
        </w:tabs>
        <w:spacing w:before="141" w:line="360" w:lineRule="auto"/>
        <w:ind w:left="78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val="en-US"/>
        </w:rPr>
        <w:t>4、</w:t>
      </w:r>
      <w:r>
        <w:rPr>
          <w:rFonts w:hint="eastAsia" w:asciiTheme="minorEastAsia" w:hAnsiTheme="minorEastAsia" w:eastAsiaTheme="minorEastAsia" w:cstheme="minorEastAsia"/>
          <w:b/>
          <w:sz w:val="28"/>
          <w:szCs w:val="28"/>
        </w:rPr>
        <w:t>医疗报告打印服务：</w:t>
      </w:r>
      <w:r>
        <w:rPr>
          <w:rFonts w:hint="eastAsia" w:asciiTheme="minorEastAsia" w:hAnsiTheme="minorEastAsia" w:eastAsiaTheme="minorEastAsia" w:cstheme="minorEastAsia"/>
          <w:sz w:val="28"/>
          <w:szCs w:val="28"/>
        </w:rPr>
        <w:t>中标人根据客户需求，为客户打印或指引自助机打印相关检查检验报告。</w:t>
      </w:r>
    </w:p>
    <w:p>
      <w:pPr>
        <w:pStyle w:val="9"/>
        <w:tabs>
          <w:tab w:val="left" w:pos="1001"/>
        </w:tabs>
        <w:spacing w:before="139" w:line="360" w:lineRule="auto"/>
        <w:ind w:left="787" w:right="6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w w:val="95"/>
          <w:sz w:val="28"/>
          <w:szCs w:val="28"/>
          <w:lang w:val="en-US"/>
        </w:rPr>
        <w:t>5、</w:t>
      </w:r>
      <w:r>
        <w:rPr>
          <w:rFonts w:hint="eastAsia" w:asciiTheme="minorEastAsia" w:hAnsiTheme="minorEastAsia" w:eastAsiaTheme="minorEastAsia" w:cstheme="minorEastAsia"/>
          <w:b/>
          <w:w w:val="95"/>
          <w:sz w:val="28"/>
          <w:szCs w:val="28"/>
        </w:rPr>
        <w:t>客户投诉处理服务：</w:t>
      </w:r>
      <w:r>
        <w:rPr>
          <w:rFonts w:hint="eastAsia" w:asciiTheme="minorEastAsia" w:hAnsiTheme="minorEastAsia" w:eastAsiaTheme="minorEastAsia" w:cstheme="minorEastAsia"/>
          <w:sz w:val="28"/>
          <w:szCs w:val="28"/>
        </w:rPr>
        <w:t>对于客户在中标人服务项目内容过程中出现的问题及纠纷，中标人负责及时处理，协助医院跟进及解决问题。</w:t>
      </w:r>
    </w:p>
    <w:p>
      <w:pPr>
        <w:pStyle w:val="9"/>
        <w:tabs>
          <w:tab w:val="left" w:pos="1001"/>
        </w:tabs>
        <w:spacing w:before="139" w:line="360" w:lineRule="auto"/>
        <w:ind w:left="787" w:right="650"/>
        <w:rPr>
          <w:rFonts w:asciiTheme="minorEastAsia" w:hAnsiTheme="minorEastAsia" w:eastAsiaTheme="minorEastAsia" w:cstheme="minorEastAsia"/>
          <w:b/>
          <w:bCs w:val="0"/>
          <w:color w:val="000000" w:themeColor="text1"/>
          <w:sz w:val="28"/>
          <w:szCs w:val="28"/>
        </w:rPr>
      </w:pPr>
      <w:r>
        <w:rPr>
          <w:rFonts w:hint="eastAsia" w:asciiTheme="minorEastAsia" w:hAnsiTheme="minorEastAsia" w:eastAsiaTheme="minorEastAsia" w:cstheme="minorEastAsia"/>
          <w:b/>
          <w:bCs w:val="0"/>
          <w:color w:val="000000" w:themeColor="text1"/>
          <w:w w:val="95"/>
          <w:sz w:val="28"/>
          <w:szCs w:val="28"/>
          <w:lang w:val="en-US"/>
        </w:rPr>
        <w:t>6、协助检验检查科室相关工作与咨询服务</w:t>
      </w:r>
    </w:p>
    <w:p>
      <w:pPr>
        <w:pStyle w:val="4"/>
        <w:spacing w:line="360" w:lineRule="auto"/>
        <w:ind w:left="228" w:right="595" w:firstLine="638"/>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spacing w:val="-2"/>
          <w:w w:val="95"/>
          <w:sz w:val="28"/>
          <w:szCs w:val="28"/>
          <w:lang w:val="en-US"/>
        </w:rPr>
        <w:t>7、</w:t>
      </w:r>
      <w:r>
        <w:rPr>
          <w:rFonts w:hint="eastAsia" w:asciiTheme="minorEastAsia" w:hAnsiTheme="minorEastAsia" w:eastAsiaTheme="minorEastAsia" w:cstheme="minorEastAsia"/>
          <w:b/>
          <w:bCs/>
          <w:sz w:val="28"/>
          <w:szCs w:val="28"/>
          <w:lang w:val="en-US"/>
        </w:rPr>
        <w:t>工作时间：</w:t>
      </w:r>
      <w:r>
        <w:rPr>
          <w:rFonts w:hint="eastAsia" w:asciiTheme="minorEastAsia" w:hAnsiTheme="minorEastAsia" w:eastAsiaTheme="minorEastAsia" w:cstheme="minorEastAsia"/>
          <w:sz w:val="28"/>
          <w:szCs w:val="28"/>
          <w:lang w:val="en-US"/>
        </w:rPr>
        <w:t>门诊服务岗位暂定为8小时值班，个别导诊岗位为24小时值班，导诊服务为按照岗位服务时间。</w:t>
      </w:r>
    </w:p>
    <w:p>
      <w:pPr>
        <w:pStyle w:val="4"/>
        <w:spacing w:line="360" w:lineRule="auto"/>
        <w:ind w:left="0" w:right="595" w:firstLine="789" w:firstLineChars="300"/>
        <w:rPr>
          <w:rFonts w:asciiTheme="minorEastAsia" w:hAnsiTheme="minorEastAsia" w:eastAsiaTheme="minorEastAsia" w:cstheme="minorEastAsia"/>
          <w:b/>
          <w:w w:val="95"/>
          <w:sz w:val="28"/>
          <w:szCs w:val="28"/>
        </w:rPr>
      </w:pPr>
      <w:r>
        <w:rPr>
          <w:rFonts w:hint="eastAsia" w:asciiTheme="minorEastAsia" w:hAnsiTheme="minorEastAsia" w:eastAsiaTheme="minorEastAsia" w:cstheme="minorEastAsia"/>
          <w:b/>
          <w:spacing w:val="-2"/>
          <w:w w:val="95"/>
          <w:sz w:val="28"/>
          <w:szCs w:val="28"/>
          <w:lang w:val="en-US"/>
        </w:rPr>
        <w:t>8、</w:t>
      </w:r>
      <w:r>
        <w:rPr>
          <w:rFonts w:hint="eastAsia" w:asciiTheme="minorEastAsia" w:hAnsiTheme="minorEastAsia" w:eastAsiaTheme="minorEastAsia" w:cstheme="minorEastAsia"/>
          <w:b/>
          <w:spacing w:val="-2"/>
          <w:w w:val="95"/>
          <w:sz w:val="28"/>
          <w:szCs w:val="28"/>
        </w:rPr>
        <w:t>人员配置：</w:t>
      </w:r>
      <w:r>
        <w:rPr>
          <w:rFonts w:hint="eastAsia" w:asciiTheme="minorEastAsia" w:hAnsiTheme="minorEastAsia" w:eastAsiaTheme="minorEastAsia" w:cstheme="minorEastAsia"/>
          <w:sz w:val="28"/>
          <w:szCs w:val="28"/>
        </w:rPr>
        <w:t>在服务期间，中标人负责服务团队招聘及培训、导诊服务提供等工作，中标人签署合同后首次上岗需要至少配置不少于岗位数的90%。</w:t>
      </w:r>
      <w:r>
        <w:rPr>
          <w:rFonts w:hint="eastAsia" w:asciiTheme="minorEastAsia" w:hAnsiTheme="minorEastAsia" w:eastAsiaTheme="minorEastAsia" w:cstheme="minorEastAsia"/>
          <w:b/>
          <w:bCs/>
          <w:sz w:val="28"/>
          <w:szCs w:val="28"/>
          <w:lang w:eastAsia="zh-CN"/>
        </w:rPr>
        <w:t>（详人员需求见：附件</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eastAsia="zh-CN"/>
        </w:rPr>
        <w:t>）</w:t>
      </w:r>
    </w:p>
    <w:p>
      <w:pPr>
        <w:pStyle w:val="2"/>
        <w:spacing w:line="360" w:lineRule="auto"/>
        <w:ind w:left="78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.拟投入本项目人员的配置要求：</w:t>
      </w:r>
    </w:p>
    <w:p>
      <w:pPr>
        <w:pStyle w:val="9"/>
        <w:tabs>
          <w:tab w:val="left" w:pos="1103"/>
        </w:tabs>
        <w:spacing w:before="141" w:line="360" w:lineRule="auto"/>
        <w:ind w:left="78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各类人员服装整齐统一，注意个人卫生、形象佳。</w:t>
      </w:r>
    </w:p>
    <w:p>
      <w:pPr>
        <w:pStyle w:val="9"/>
        <w:tabs>
          <w:tab w:val="left" w:pos="1103"/>
        </w:tabs>
        <w:spacing w:before="139" w:line="360" w:lineRule="auto"/>
        <w:ind w:left="78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所有管理和工作人员语言文明、服务态度好，积极配合临床的管理及安排。</w:t>
      </w:r>
    </w:p>
    <w:p>
      <w:pPr>
        <w:pStyle w:val="4"/>
        <w:numPr>
          <w:ilvl w:val="0"/>
          <w:numId w:val="1"/>
        </w:numPr>
        <w:spacing w:before="138" w:line="360" w:lineRule="auto"/>
        <w:ind w:left="787" w:right="55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保持员工队伍相对稳定，员工工作熟练，经过岗前培训，通过基本消防知识和急救技术培训。</w:t>
      </w:r>
    </w:p>
    <w:p>
      <w:pPr>
        <w:pStyle w:val="4"/>
        <w:numPr>
          <w:ilvl w:val="0"/>
          <w:numId w:val="2"/>
        </w:numPr>
        <w:spacing w:before="138" w:line="360" w:lineRule="auto"/>
        <w:ind w:left="838" w:leftChars="381" w:right="55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所有工作人员按各不同工种和专业要求持证上岗。如因工作人员没有持有相应的工作上岗证导致事故发生，责任由中标人承担。</w:t>
      </w:r>
    </w:p>
    <w:p>
      <w:pPr>
        <w:pStyle w:val="4"/>
        <w:spacing w:line="360" w:lineRule="auto"/>
        <w:ind w:left="0" w:right="595" w:firstLine="801" w:firstLineChars="300"/>
        <w:rPr>
          <w:rFonts w:asciiTheme="minorEastAsia" w:hAnsiTheme="minorEastAsia" w:eastAsiaTheme="minorEastAsia" w:cstheme="minorEastAsia"/>
          <w:b/>
          <w:w w:val="95"/>
          <w:sz w:val="28"/>
          <w:szCs w:val="28"/>
        </w:rPr>
      </w:pPr>
      <w:r>
        <w:rPr>
          <w:rFonts w:hint="eastAsia" w:asciiTheme="minorEastAsia" w:hAnsiTheme="minorEastAsia" w:eastAsiaTheme="minorEastAsia" w:cstheme="minorEastAsia"/>
          <w:b/>
          <w:w w:val="95"/>
          <w:sz w:val="28"/>
          <w:szCs w:val="28"/>
          <w:lang w:val="en-US" w:eastAsia="zh-CN"/>
        </w:rPr>
        <w:t>10、其它需求相关说明</w:t>
      </w:r>
      <w:r>
        <w:rPr>
          <w:rFonts w:hint="eastAsia" w:asciiTheme="minorEastAsia" w:hAnsiTheme="minorEastAsia" w:eastAsiaTheme="minorEastAsia" w:cstheme="minorEastAsia"/>
          <w:b/>
          <w:w w:val="95"/>
          <w:sz w:val="28"/>
          <w:szCs w:val="28"/>
        </w:rPr>
        <w:t>：</w:t>
      </w:r>
    </w:p>
    <w:p>
      <w:pPr>
        <w:pStyle w:val="4"/>
        <w:spacing w:line="360" w:lineRule="auto"/>
        <w:ind w:left="785" w:leftChars="357" w:right="657" w:firstLine="148" w:firstLineChars="5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以上人员配置按每天早上客户数70-80人计算，如在此基础上每超过</w:t>
      </w:r>
      <w:r>
        <w:rPr>
          <w:rFonts w:hint="eastAsia" w:asciiTheme="minorEastAsia" w:hAnsiTheme="minorEastAsia" w:eastAsiaTheme="minorEastAsia" w:cstheme="minorEastAsia"/>
          <w:sz w:val="28"/>
          <w:szCs w:val="28"/>
          <w:lang w:val="en-US"/>
        </w:rPr>
        <w:t xml:space="preserve"> 10</w:t>
      </w:r>
      <w:r>
        <w:rPr>
          <w:rFonts w:hint="eastAsia" w:asciiTheme="minorEastAsia" w:hAnsiTheme="minorEastAsia" w:eastAsiaTheme="minorEastAsia" w:cstheme="minorEastAsia"/>
          <w:sz w:val="28"/>
          <w:szCs w:val="28"/>
        </w:rPr>
        <w:t>个客户，应相应增加1人的配置。</w:t>
      </w:r>
    </w:p>
    <w:p>
      <w:pPr>
        <w:pStyle w:val="4"/>
        <w:spacing w:line="360" w:lineRule="auto"/>
        <w:ind w:left="794" w:leftChars="361" w:right="595" w:firstLine="224" w:firstLineChars="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中标人员配备以保证完成诊区工作任务为前提，如因导诊员业务不熟悉等原因导致不能完成工作任务，中标人应及时增加人力以保证完成工作任务。</w:t>
      </w:r>
    </w:p>
    <w:p>
      <w:pPr>
        <w:pStyle w:val="4"/>
        <w:spacing w:line="360" w:lineRule="auto"/>
        <w:ind w:left="785" w:leftChars="357" w:right="595" w:firstLine="148" w:firstLineChars="5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以上人员需形象健康良好，具备较好的服务意识（28岁以下女性占比不低于80%）、具备高中（或中专）及以上学历，护理相关岗位人员需有护理学习经历。</w:t>
      </w:r>
    </w:p>
    <w:p>
      <w:pPr>
        <w:pStyle w:val="4"/>
        <w:spacing w:line="360" w:lineRule="auto"/>
        <w:ind w:left="838" w:leftChars="381" w:right="5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上述人员均不得兼任，均需为中标人正式员工，须提供2020年</w:t>
      </w:r>
      <w:r>
        <w:rPr>
          <w:rFonts w:hint="eastAsia" w:asciiTheme="minorEastAsia" w:hAnsiTheme="minorEastAsia" w:eastAsiaTheme="minorEastAsia" w:cstheme="minorEastAsia"/>
          <w:sz w:val="28"/>
          <w:szCs w:val="28"/>
          <w:lang w:val="en-US"/>
        </w:rPr>
        <w:t>10</w:t>
      </w:r>
      <w:r>
        <w:rPr>
          <w:rFonts w:hint="eastAsia" w:asciiTheme="minorEastAsia" w:hAnsiTheme="minorEastAsia" w:eastAsiaTheme="minorEastAsia" w:cstheme="minorEastAsia"/>
          <w:sz w:val="28"/>
          <w:szCs w:val="28"/>
        </w:rPr>
        <w:t>月至2020年</w:t>
      </w:r>
      <w:r>
        <w:rPr>
          <w:rFonts w:hint="eastAsia" w:asciiTheme="minorEastAsia" w:hAnsiTheme="minorEastAsia" w:eastAsiaTheme="minorEastAsia" w:cstheme="minorEastAsia"/>
          <w:sz w:val="28"/>
          <w:szCs w:val="28"/>
          <w:lang w:val="en-US"/>
        </w:rPr>
        <w:t>12</w:t>
      </w:r>
      <w:r>
        <w:rPr>
          <w:rFonts w:hint="eastAsia" w:asciiTheme="minorEastAsia" w:hAnsiTheme="minorEastAsia" w:eastAsiaTheme="minorEastAsia" w:cstheme="minorEastAsia"/>
          <w:sz w:val="28"/>
          <w:szCs w:val="28"/>
        </w:rPr>
        <w:t>月的社保证明复印件并加盖公章。若投标阶段人员未满足要求，投标人可提供承诺书（承诺书格式自行编制，内容包括不限于：“若我单位中标，签订合同前保证按投标文件中配备拟投入本项目的人员，并且提供拟投入本项目人员的有关证书和劳务证明资料（社保证明或劳动合同或劳务合同）供采购人核查，否则视为我单位放弃中标资格。”）并加盖中标人公章，视为满足人员和社保要求。</w:t>
      </w:r>
    </w:p>
    <w:p>
      <w:pPr>
        <w:pStyle w:val="4"/>
        <w:spacing w:line="360" w:lineRule="auto"/>
        <w:ind w:left="838" w:leftChars="381" w:right="595"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中标人必须对其单位提供的资料真实性负责，如发现有虚假，取消其中标资格并承担相应的法律责任。</w:t>
      </w:r>
    </w:p>
    <w:p>
      <w:pPr>
        <w:pStyle w:val="4"/>
        <w:spacing w:line="360" w:lineRule="auto"/>
        <w:ind w:left="838" w:leftChars="381" w:right="595"/>
        <w:rPr>
          <w:rFonts w:asciiTheme="minorEastAsia" w:hAnsi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中标人员</w:t>
      </w:r>
      <w:r>
        <w:rPr>
          <w:rFonts w:hint="eastAsia"/>
          <w:sz w:val="28"/>
          <w:szCs w:val="28"/>
        </w:rPr>
        <w:t>根据国家法定休假情况配备足够的人力</w:t>
      </w:r>
      <w:r>
        <w:rPr>
          <w:rFonts w:hint="eastAsia"/>
          <w:sz w:val="28"/>
          <w:szCs w:val="28"/>
          <w:lang w:val="en-US"/>
        </w:rPr>
        <w:t>，满足客户服务需求。</w:t>
      </w:r>
    </w:p>
    <w:p>
      <w:pPr>
        <w:pStyle w:val="4"/>
        <w:spacing w:line="360" w:lineRule="auto"/>
        <w:ind w:left="228" w:right="595" w:firstLine="559"/>
        <w:rPr>
          <w:rFonts w:asciiTheme="minorEastAsia" w:hAnsiTheme="minorEastAsia" w:eastAsiaTheme="minorEastAsia" w:cstheme="minorEastAsia"/>
          <w:sz w:val="28"/>
          <w:szCs w:val="28"/>
        </w:rPr>
        <w:sectPr>
          <w:pgSz w:w="11910" w:h="16840"/>
          <w:pgMar w:top="1020" w:right="500" w:bottom="1180" w:left="1140" w:header="821" w:footer="994" w:gutter="0"/>
          <w:cols w:space="720" w:num="1"/>
        </w:sectPr>
      </w:pPr>
    </w:p>
    <w:p>
      <w:pPr>
        <w:pStyle w:val="4"/>
        <w:numPr>
          <w:ilvl w:val="-1"/>
          <w:numId w:val="0"/>
        </w:numPr>
        <w:spacing w:before="138" w:line="360" w:lineRule="auto"/>
        <w:ind w:left="0" w:leftChars="0" w:right="554"/>
        <w:rPr>
          <w:rFonts w:hint="eastAsia" w:asciiTheme="minorEastAsia" w:hAnsiTheme="minorEastAsia" w:eastAsiaTheme="minorEastAsia" w:cstheme="minorEastAsia"/>
          <w:sz w:val="28"/>
          <w:szCs w:val="28"/>
        </w:rPr>
      </w:pPr>
    </w:p>
    <w:p>
      <w:pPr>
        <w:pStyle w:val="2"/>
        <w:spacing w:before="70"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（二）服务标准</w:t>
      </w:r>
    </w:p>
    <w:p>
      <w:pPr>
        <w:pStyle w:val="4"/>
        <w:spacing w:before="139" w:line="360" w:lineRule="auto"/>
        <w:ind w:left="220" w:right="592"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中标人应根据服务标准每月向采购人提交《服务运行情况报告》，服务需求书中服务标准每项细则</w:t>
      </w:r>
      <w:r>
        <w:rPr>
          <w:rFonts w:hint="eastAsia" w:asciiTheme="minorEastAsia" w:hAnsiTheme="minorEastAsia" w:eastAsiaTheme="minorEastAsia" w:cstheme="minorEastAsia"/>
          <w:spacing w:val="-2"/>
          <w:sz w:val="28"/>
          <w:szCs w:val="28"/>
        </w:rPr>
        <w:t xml:space="preserve">如有未能完成、达不到服务标准，各项扣除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10"/>
          <w:sz w:val="28"/>
          <w:szCs w:val="28"/>
        </w:rPr>
        <w:t xml:space="preserve"> 分。每分扣罚标准按总服务费的 </w:t>
      </w:r>
      <w:r>
        <w:rPr>
          <w:rFonts w:hint="eastAsia" w:asciiTheme="minorEastAsia" w:hAnsiTheme="minorEastAsia" w:eastAsiaTheme="minorEastAsia" w:cstheme="minorEastAsia"/>
          <w:sz w:val="28"/>
          <w:szCs w:val="28"/>
        </w:rPr>
        <w:t>1.5‰折价扣除。若服务</w:t>
      </w:r>
      <w:r>
        <w:rPr>
          <w:rFonts w:hint="eastAsia" w:asciiTheme="minorEastAsia" w:hAnsiTheme="minorEastAsia" w:eastAsiaTheme="minorEastAsia" w:cstheme="minorEastAsia"/>
          <w:spacing w:val="-7"/>
          <w:sz w:val="28"/>
          <w:szCs w:val="28"/>
        </w:rPr>
        <w:t>标准不达标率达到 2‰（</w:t>
      </w:r>
      <w:r>
        <w:rPr>
          <w:rFonts w:hint="eastAsia" w:asciiTheme="minorEastAsia" w:hAnsiTheme="minorEastAsia" w:eastAsiaTheme="minorEastAsia" w:cstheme="minorEastAsia"/>
          <w:spacing w:val="-31"/>
          <w:sz w:val="28"/>
          <w:szCs w:val="28"/>
        </w:rPr>
        <w:t xml:space="preserve">含 </w:t>
      </w:r>
      <w:r>
        <w:rPr>
          <w:rFonts w:hint="eastAsia" w:asciiTheme="minorEastAsia" w:hAnsiTheme="minorEastAsia" w:eastAsiaTheme="minorEastAsia" w:cstheme="minorEastAsia"/>
          <w:spacing w:val="-6"/>
          <w:sz w:val="28"/>
          <w:szCs w:val="28"/>
        </w:rPr>
        <w:t>2‰）</w:t>
      </w:r>
      <w:r>
        <w:rPr>
          <w:rFonts w:hint="eastAsia" w:asciiTheme="minorEastAsia" w:hAnsiTheme="minorEastAsia" w:eastAsiaTheme="minorEastAsia" w:cstheme="minorEastAsia"/>
          <w:spacing w:val="-11"/>
          <w:sz w:val="28"/>
          <w:szCs w:val="28"/>
        </w:rPr>
        <w:t>以上</w:t>
      </w:r>
      <w:r>
        <w:rPr>
          <w:rFonts w:hint="eastAsia" w:asciiTheme="minorEastAsia" w:hAnsiTheme="minorEastAsia" w:eastAsiaTheme="minorEastAsia" w:cstheme="minorEastAsia"/>
          <w:sz w:val="28"/>
          <w:szCs w:val="28"/>
        </w:rPr>
        <w:t>（不达标率按当月不达标人次除以当月导诊总人次计算</w:t>
      </w:r>
      <w:r>
        <w:rPr>
          <w:rFonts w:hint="eastAsia" w:asciiTheme="minorEastAsia" w:hAnsiTheme="minorEastAsia" w:eastAsiaTheme="minorEastAsia" w:cstheme="minorEastAsia"/>
          <w:spacing w:val="-20"/>
          <w:sz w:val="28"/>
          <w:szCs w:val="28"/>
        </w:rPr>
        <w:t>），</w:t>
      </w:r>
      <w:r>
        <w:rPr>
          <w:rFonts w:hint="eastAsia" w:asciiTheme="minorEastAsia" w:hAnsiTheme="minorEastAsia" w:eastAsiaTheme="minorEastAsia" w:cstheme="minorEastAsia"/>
          <w:sz w:val="28"/>
          <w:szCs w:val="28"/>
        </w:rPr>
        <w:t>采购人可从月度服务总费用中加倍扣罚（</w:t>
      </w:r>
      <w:r>
        <w:rPr>
          <w:rFonts w:hint="eastAsia" w:asciiTheme="minorEastAsia" w:hAnsiTheme="minorEastAsia" w:eastAsiaTheme="minorEastAsia" w:cstheme="minorEastAsia"/>
          <w:spacing w:val="-26"/>
          <w:sz w:val="28"/>
          <w:szCs w:val="28"/>
        </w:rPr>
        <w:t xml:space="preserve">由 </w:t>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pacing w:val="-13"/>
          <w:sz w:val="28"/>
          <w:szCs w:val="28"/>
        </w:rPr>
        <w:t xml:space="preserve">增加到 </w:t>
      </w:r>
      <w:r>
        <w:rPr>
          <w:rFonts w:hint="eastAsia" w:asciiTheme="minorEastAsia" w:hAnsiTheme="minorEastAsia" w:eastAsiaTheme="minorEastAsia" w:cstheme="minorEastAsia"/>
          <w:sz w:val="28"/>
          <w:szCs w:val="28"/>
        </w:rPr>
        <w:t>3‰）。</w:t>
      </w:r>
    </w:p>
    <w:tbl>
      <w:tblPr>
        <w:tblStyle w:val="6"/>
        <w:tblW w:w="8788" w:type="dxa"/>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2130"/>
        <w:gridCol w:w="475"/>
        <w:gridCol w:w="5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7" w:type="dxa"/>
          </w:tcPr>
          <w:p>
            <w:pPr>
              <w:pStyle w:val="10"/>
              <w:spacing w:line="360" w:lineRule="auto"/>
              <w:ind w:left="151" w:right="143"/>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2130" w:type="dxa"/>
          </w:tcPr>
          <w:p>
            <w:pPr>
              <w:pStyle w:val="10"/>
              <w:spacing w:line="360" w:lineRule="auto"/>
              <w:ind w:left="202" w:right="192"/>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服务内容</w:t>
            </w:r>
          </w:p>
        </w:tc>
        <w:tc>
          <w:tcPr>
            <w:tcW w:w="5891" w:type="dxa"/>
            <w:gridSpan w:val="2"/>
          </w:tcPr>
          <w:p>
            <w:pPr>
              <w:pStyle w:val="10"/>
              <w:spacing w:line="360" w:lineRule="auto"/>
              <w:ind w:left="2503" w:right="2493"/>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767" w:type="dxa"/>
          </w:tcPr>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before="9" w:line="360" w:lineRule="auto"/>
              <w:rPr>
                <w:rFonts w:asciiTheme="minorEastAsia" w:hAnsiTheme="minorEastAsia" w:eastAsiaTheme="minorEastAsia" w:cstheme="minorEastAsia"/>
                <w:sz w:val="28"/>
                <w:szCs w:val="28"/>
              </w:rPr>
            </w:pPr>
          </w:p>
          <w:p>
            <w:pPr>
              <w:pStyle w:val="10"/>
              <w:spacing w:line="360" w:lineRule="auto"/>
              <w:ind w:left="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1</w:t>
            </w:r>
          </w:p>
        </w:tc>
        <w:tc>
          <w:tcPr>
            <w:tcW w:w="2130" w:type="dxa"/>
          </w:tcPr>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before="9" w:line="360" w:lineRule="auto"/>
              <w:rPr>
                <w:rFonts w:asciiTheme="minorEastAsia" w:hAnsiTheme="minorEastAsia" w:eastAsiaTheme="minorEastAsia" w:cstheme="minorEastAsia"/>
                <w:sz w:val="28"/>
                <w:szCs w:val="28"/>
              </w:rPr>
            </w:pPr>
          </w:p>
          <w:p>
            <w:pPr>
              <w:pStyle w:val="10"/>
              <w:spacing w:line="360" w:lineRule="auto"/>
              <w:ind w:left="202" w:right="19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电话预约服务</w:t>
            </w:r>
          </w:p>
        </w:tc>
        <w:tc>
          <w:tcPr>
            <w:tcW w:w="5891" w:type="dxa"/>
            <w:gridSpan w:val="2"/>
          </w:tcPr>
          <w:p>
            <w:pPr>
              <w:pStyle w:val="10"/>
              <w:numPr>
                <w:ilvl w:val="0"/>
                <w:numId w:val="3"/>
              </w:numPr>
              <w:tabs>
                <w:tab w:val="left" w:pos="468"/>
              </w:tabs>
              <w:spacing w:before="1" w:line="360" w:lineRule="auto"/>
              <w:ind w:right="-15" w:hanging="42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服务人员应有礼貌，能说流利的普通话和粤语，熟悉业务， 责任心强。</w:t>
            </w:r>
          </w:p>
          <w:p>
            <w:pPr>
              <w:pStyle w:val="10"/>
              <w:numPr>
                <w:ilvl w:val="0"/>
                <w:numId w:val="3"/>
              </w:numPr>
              <w:tabs>
                <w:tab w:val="left" w:pos="468"/>
              </w:tabs>
              <w:spacing w:before="1" w:line="360" w:lineRule="auto"/>
              <w:ind w:right="-15" w:hanging="42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及时为预约客户提供预约信息反馈确认。</w:t>
            </w:r>
          </w:p>
          <w:p>
            <w:pPr>
              <w:pStyle w:val="10"/>
              <w:numPr>
                <w:ilvl w:val="0"/>
                <w:numId w:val="3"/>
              </w:numPr>
              <w:tabs>
                <w:tab w:val="left" w:pos="468"/>
              </w:tabs>
              <w:spacing w:before="1" w:line="360" w:lineRule="auto"/>
              <w:ind w:right="-15" w:hanging="42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提前一天为预约专家提供短信确认服务。</w:t>
            </w:r>
          </w:p>
          <w:p>
            <w:pPr>
              <w:pStyle w:val="10"/>
              <w:numPr>
                <w:ilvl w:val="0"/>
                <w:numId w:val="3"/>
              </w:numPr>
              <w:tabs>
                <w:tab w:val="left" w:pos="468"/>
              </w:tabs>
              <w:spacing w:before="1" w:line="360" w:lineRule="auto"/>
              <w:ind w:right="-15" w:hanging="42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专家临时不能出诊，做好预约更改服务。</w:t>
            </w:r>
          </w:p>
          <w:p>
            <w:pPr>
              <w:pStyle w:val="10"/>
              <w:numPr>
                <w:ilvl w:val="0"/>
                <w:numId w:val="3"/>
              </w:numPr>
              <w:tabs>
                <w:tab w:val="left" w:pos="468"/>
              </w:tabs>
              <w:spacing w:before="1" w:line="360" w:lineRule="auto"/>
              <w:ind w:right="-15" w:hanging="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电话接通率达到90%以上。</w:t>
            </w:r>
          </w:p>
          <w:p>
            <w:pPr>
              <w:pStyle w:val="10"/>
              <w:tabs>
                <w:tab w:val="left" w:pos="468"/>
              </w:tabs>
              <w:spacing w:before="1" w:line="360" w:lineRule="auto"/>
              <w:ind w:right="-15"/>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767" w:type="dxa"/>
          </w:tcPr>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before="9" w:line="360" w:lineRule="auto"/>
              <w:rPr>
                <w:rFonts w:asciiTheme="minorEastAsia" w:hAnsiTheme="minorEastAsia" w:eastAsiaTheme="minorEastAsia" w:cstheme="minorEastAsia"/>
                <w:sz w:val="28"/>
                <w:szCs w:val="28"/>
              </w:rPr>
            </w:pPr>
          </w:p>
          <w:p>
            <w:pPr>
              <w:pStyle w:val="10"/>
              <w:spacing w:line="360" w:lineRule="auto"/>
              <w:ind w:left="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2</w:t>
            </w:r>
          </w:p>
        </w:tc>
        <w:tc>
          <w:tcPr>
            <w:tcW w:w="2130" w:type="dxa"/>
          </w:tcPr>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line="360" w:lineRule="auto"/>
              <w:rPr>
                <w:rFonts w:asciiTheme="minorEastAsia" w:hAnsiTheme="minorEastAsia" w:eastAsiaTheme="minorEastAsia" w:cstheme="minorEastAsia"/>
                <w:sz w:val="28"/>
                <w:szCs w:val="28"/>
              </w:rPr>
            </w:pPr>
          </w:p>
          <w:p>
            <w:pPr>
              <w:pStyle w:val="10"/>
              <w:spacing w:before="9" w:line="360" w:lineRule="auto"/>
              <w:rPr>
                <w:rFonts w:asciiTheme="minorEastAsia" w:hAnsiTheme="minorEastAsia" w:eastAsiaTheme="minorEastAsia" w:cstheme="minorEastAsia"/>
                <w:sz w:val="28"/>
                <w:szCs w:val="28"/>
              </w:rPr>
            </w:pPr>
          </w:p>
          <w:p>
            <w:pPr>
              <w:pStyle w:val="10"/>
              <w:spacing w:line="360" w:lineRule="auto"/>
              <w:ind w:left="202" w:right="19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咨询与导诊服务</w:t>
            </w:r>
          </w:p>
        </w:tc>
        <w:tc>
          <w:tcPr>
            <w:tcW w:w="5891" w:type="dxa"/>
            <w:gridSpan w:val="2"/>
          </w:tcPr>
          <w:p>
            <w:pPr>
              <w:pStyle w:val="10"/>
              <w:numPr>
                <w:ilvl w:val="0"/>
                <w:numId w:val="4"/>
              </w:numPr>
              <w:tabs>
                <w:tab w:val="left" w:pos="528"/>
              </w:tabs>
              <w:spacing w:line="360" w:lineRule="auto"/>
              <w:ind w:hanging="4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导诊服务人员仪表端正，待人有礼。</w:t>
            </w:r>
          </w:p>
          <w:p>
            <w:pPr>
              <w:pStyle w:val="10"/>
              <w:numPr>
                <w:ilvl w:val="0"/>
                <w:numId w:val="4"/>
              </w:numPr>
              <w:tabs>
                <w:tab w:val="left" w:pos="528"/>
              </w:tabs>
              <w:spacing w:line="360" w:lineRule="auto"/>
              <w:ind w:hanging="4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导诊服务人员应熟悉医院情况，掌握医院门诊的诊疗信息 及业务开展情况。</w:t>
            </w:r>
          </w:p>
          <w:p>
            <w:pPr>
              <w:pStyle w:val="10"/>
              <w:numPr>
                <w:ilvl w:val="0"/>
                <w:numId w:val="4"/>
              </w:numPr>
              <w:tabs>
                <w:tab w:val="left" w:pos="528"/>
              </w:tabs>
              <w:spacing w:line="360" w:lineRule="auto"/>
              <w:ind w:hanging="4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坚守岗位，主动服务，经常巡视，准确分诊。</w:t>
            </w:r>
          </w:p>
          <w:p>
            <w:pPr>
              <w:pStyle w:val="10"/>
              <w:numPr>
                <w:ilvl w:val="0"/>
                <w:numId w:val="4"/>
              </w:numPr>
              <w:tabs>
                <w:tab w:val="left" w:pos="528"/>
              </w:tabs>
              <w:spacing w:line="360" w:lineRule="auto"/>
              <w:ind w:hanging="4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主动为行动不便、老弱病残者服务，对重病、高龄等优先安排就诊。</w:t>
            </w:r>
          </w:p>
          <w:p>
            <w:pPr>
              <w:pStyle w:val="10"/>
              <w:numPr>
                <w:ilvl w:val="0"/>
                <w:numId w:val="4"/>
              </w:numPr>
              <w:tabs>
                <w:tab w:val="left" w:pos="528"/>
              </w:tabs>
              <w:spacing w:line="360" w:lineRule="auto"/>
              <w:ind w:hanging="42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特殊部门（体检中心、检验科、急诊）导诊能胜任岗位职责</w:t>
            </w:r>
          </w:p>
          <w:p>
            <w:pPr>
              <w:pStyle w:val="10"/>
              <w:tabs>
                <w:tab w:val="left" w:pos="528"/>
              </w:tabs>
              <w:spacing w:line="360" w:lineRule="auto"/>
              <w:ind w:right="-15"/>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7" w:type="dxa"/>
            <w:tcBorders>
              <w:bottom w:val="nil"/>
            </w:tcBorders>
          </w:tcPr>
          <w:p>
            <w:pPr>
              <w:pStyle w:val="10"/>
              <w:spacing w:line="360" w:lineRule="auto"/>
              <w:rPr>
                <w:rFonts w:asciiTheme="minorEastAsia" w:hAnsiTheme="minorEastAsia" w:eastAsiaTheme="minorEastAsia" w:cstheme="minorEastAsia"/>
                <w:sz w:val="28"/>
                <w:szCs w:val="28"/>
              </w:rPr>
            </w:pPr>
          </w:p>
        </w:tc>
        <w:tc>
          <w:tcPr>
            <w:tcW w:w="2130" w:type="dxa"/>
            <w:tcBorders>
              <w:bottom w:val="nil"/>
            </w:tcBorders>
          </w:tcPr>
          <w:p>
            <w:pPr>
              <w:pStyle w:val="10"/>
              <w:spacing w:line="360" w:lineRule="auto"/>
              <w:rPr>
                <w:rFonts w:asciiTheme="minorEastAsia" w:hAnsiTheme="minorEastAsia" w:eastAsiaTheme="minorEastAsia" w:cstheme="minorEastAsia"/>
                <w:sz w:val="28"/>
                <w:szCs w:val="28"/>
              </w:rPr>
            </w:pPr>
          </w:p>
        </w:tc>
        <w:tc>
          <w:tcPr>
            <w:tcW w:w="475" w:type="dxa"/>
            <w:tcBorders>
              <w:bottom w:val="nil"/>
              <w:right w:val="nil"/>
            </w:tcBorders>
          </w:tcPr>
          <w:p>
            <w:pPr>
              <w:pStyle w:val="10"/>
              <w:spacing w:line="276"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1）</w:t>
            </w:r>
          </w:p>
        </w:tc>
        <w:tc>
          <w:tcPr>
            <w:tcW w:w="5416" w:type="dxa"/>
            <w:tcBorders>
              <w:left w:val="nil"/>
              <w:bottom w:val="nil"/>
            </w:tcBorders>
          </w:tcPr>
          <w:p>
            <w:pPr>
              <w:pStyle w:val="10"/>
              <w:spacing w:line="276"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按照惠州市中大惠亚医院的门诊服务工作制度。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7" w:type="dxa"/>
            <w:vMerge w:val="restart"/>
            <w:tcBorders>
              <w:top w:val="nil"/>
              <w:bottom w:val="nil"/>
            </w:tcBorders>
          </w:tcPr>
          <w:p>
            <w:pPr>
              <w:pStyle w:val="10"/>
              <w:spacing w:before="4" w:line="360" w:lineRule="auto"/>
              <w:rPr>
                <w:rFonts w:asciiTheme="minorEastAsia" w:hAnsiTheme="minorEastAsia" w:eastAsiaTheme="minorEastAsia" w:cstheme="minorEastAsia"/>
                <w:sz w:val="28"/>
                <w:szCs w:val="28"/>
              </w:rPr>
            </w:pPr>
          </w:p>
          <w:p>
            <w:pPr>
              <w:pStyle w:val="10"/>
              <w:spacing w:line="360" w:lineRule="auto"/>
              <w:ind w:left="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3</w:t>
            </w:r>
          </w:p>
        </w:tc>
        <w:tc>
          <w:tcPr>
            <w:tcW w:w="2130" w:type="dxa"/>
            <w:vMerge w:val="restart"/>
            <w:tcBorders>
              <w:top w:val="nil"/>
              <w:bottom w:val="nil"/>
            </w:tcBorders>
          </w:tcPr>
          <w:p>
            <w:pPr>
              <w:pStyle w:val="10"/>
              <w:spacing w:before="4" w:line="360" w:lineRule="auto"/>
              <w:rPr>
                <w:rFonts w:asciiTheme="minorEastAsia" w:hAnsiTheme="minorEastAsia" w:eastAsiaTheme="minorEastAsia" w:cstheme="minorEastAsia"/>
                <w:sz w:val="28"/>
                <w:szCs w:val="28"/>
              </w:rPr>
            </w:pPr>
          </w:p>
          <w:p>
            <w:pPr>
              <w:pStyle w:val="10"/>
              <w:spacing w:line="360" w:lineRule="auto"/>
              <w:ind w:left="223"/>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就医网络操作指引及相关服务</w:t>
            </w:r>
          </w:p>
        </w:tc>
        <w:tc>
          <w:tcPr>
            <w:tcW w:w="475" w:type="dxa"/>
            <w:tcBorders>
              <w:top w:val="nil"/>
              <w:bottom w:val="nil"/>
              <w:right w:val="nil"/>
            </w:tcBorders>
          </w:tcPr>
          <w:p>
            <w:pPr>
              <w:pStyle w:val="10"/>
              <w:spacing w:before="69" w:line="276"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2）</w:t>
            </w:r>
          </w:p>
        </w:tc>
        <w:tc>
          <w:tcPr>
            <w:tcW w:w="5416" w:type="dxa"/>
            <w:tcBorders>
              <w:top w:val="nil"/>
              <w:left w:val="nil"/>
              <w:bottom w:val="nil"/>
            </w:tcBorders>
          </w:tcPr>
          <w:p>
            <w:pPr>
              <w:pStyle w:val="10"/>
              <w:spacing w:before="69" w:line="276" w:lineRule="auto"/>
              <w:ind w:left="57"/>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熟悉网络操作与就诊相关流程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67" w:type="dxa"/>
            <w:vMerge w:val="continue"/>
            <w:tcBorders>
              <w:top w:val="nil"/>
              <w:bottom w:val="nil"/>
            </w:tcBorders>
          </w:tcPr>
          <w:p>
            <w:pPr>
              <w:spacing w:line="360" w:lineRule="auto"/>
              <w:rPr>
                <w:rFonts w:asciiTheme="minorEastAsia" w:hAnsiTheme="minorEastAsia" w:eastAsiaTheme="minorEastAsia" w:cstheme="minorEastAsia"/>
                <w:sz w:val="28"/>
                <w:szCs w:val="28"/>
              </w:rPr>
            </w:pPr>
          </w:p>
        </w:tc>
        <w:tc>
          <w:tcPr>
            <w:tcW w:w="2130" w:type="dxa"/>
            <w:vMerge w:val="continue"/>
            <w:tcBorders>
              <w:top w:val="nil"/>
              <w:bottom w:val="nil"/>
            </w:tcBorders>
          </w:tcPr>
          <w:p>
            <w:pPr>
              <w:spacing w:line="360" w:lineRule="auto"/>
              <w:rPr>
                <w:rFonts w:asciiTheme="minorEastAsia" w:hAnsiTheme="minorEastAsia" w:eastAsiaTheme="minorEastAsia" w:cstheme="minorEastAsia"/>
                <w:sz w:val="28"/>
                <w:szCs w:val="28"/>
              </w:rPr>
            </w:pPr>
          </w:p>
        </w:tc>
        <w:tc>
          <w:tcPr>
            <w:tcW w:w="475" w:type="dxa"/>
            <w:tcBorders>
              <w:top w:val="nil"/>
              <w:bottom w:val="nil"/>
              <w:right w:val="nil"/>
            </w:tcBorders>
          </w:tcPr>
          <w:p>
            <w:pPr>
              <w:pStyle w:val="10"/>
              <w:spacing w:line="276" w:lineRule="auto"/>
              <w:rPr>
                <w:rFonts w:asciiTheme="minorEastAsia" w:hAnsiTheme="minorEastAsia" w:eastAsiaTheme="minorEastAsia" w:cstheme="minorEastAsia"/>
                <w:sz w:val="28"/>
                <w:szCs w:val="28"/>
              </w:rPr>
            </w:pPr>
          </w:p>
        </w:tc>
        <w:tc>
          <w:tcPr>
            <w:tcW w:w="5416" w:type="dxa"/>
            <w:tcBorders>
              <w:top w:val="nil"/>
              <w:left w:val="nil"/>
              <w:bottom w:val="nil"/>
            </w:tcBorders>
          </w:tcPr>
          <w:p>
            <w:pPr>
              <w:pStyle w:val="10"/>
              <w:spacing w:line="276" w:lineRule="auto"/>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67"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bottom w:val="nil"/>
              <w:right w:val="nil"/>
            </w:tcBorders>
          </w:tcPr>
          <w:p>
            <w:pPr>
              <w:pStyle w:val="10"/>
              <w:spacing w:line="276"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3）</w:t>
            </w:r>
          </w:p>
        </w:tc>
        <w:tc>
          <w:tcPr>
            <w:tcW w:w="5416" w:type="dxa"/>
            <w:tcBorders>
              <w:top w:val="nil"/>
              <w:left w:val="nil"/>
              <w:bottom w:val="nil"/>
            </w:tcBorders>
          </w:tcPr>
          <w:p>
            <w:pPr>
              <w:pStyle w:val="10"/>
              <w:spacing w:line="276"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坚守岗位，主动服务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67"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bottom w:val="nil"/>
              <w:right w:val="nil"/>
            </w:tcBorders>
          </w:tcPr>
          <w:p>
            <w:pPr>
              <w:pStyle w:val="10"/>
              <w:spacing w:line="276" w:lineRule="auto"/>
              <w:rPr>
                <w:rFonts w:asciiTheme="minorEastAsia" w:hAnsiTheme="minorEastAsia" w:eastAsiaTheme="minorEastAsia" w:cstheme="minorEastAsia"/>
                <w:sz w:val="28"/>
                <w:szCs w:val="28"/>
              </w:rPr>
            </w:pPr>
          </w:p>
        </w:tc>
        <w:tc>
          <w:tcPr>
            <w:tcW w:w="5416" w:type="dxa"/>
            <w:tcBorders>
              <w:top w:val="nil"/>
              <w:left w:val="nil"/>
              <w:bottom w:val="nil"/>
            </w:tcBorders>
          </w:tcPr>
          <w:p>
            <w:pPr>
              <w:pStyle w:val="10"/>
              <w:spacing w:before="70" w:line="276" w:lineRule="auto"/>
              <w:ind w:left="57"/>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7" w:type="dxa"/>
            <w:tcBorders>
              <w:top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right w:val="nil"/>
            </w:tcBorders>
          </w:tcPr>
          <w:p>
            <w:pPr>
              <w:pStyle w:val="10"/>
              <w:spacing w:before="69" w:line="276"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4）</w:t>
            </w:r>
          </w:p>
        </w:tc>
        <w:tc>
          <w:tcPr>
            <w:tcW w:w="5416" w:type="dxa"/>
            <w:tcBorders>
              <w:top w:val="nil"/>
              <w:left w:val="nil"/>
            </w:tcBorders>
          </w:tcPr>
          <w:p>
            <w:pPr>
              <w:pStyle w:val="10"/>
              <w:spacing w:before="69" w:line="276"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主动协助行动不便、老弱病残者就医及租借服务，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67" w:type="dxa"/>
            <w:tcBorders>
              <w:bottom w:val="nil"/>
            </w:tcBorders>
          </w:tcPr>
          <w:p>
            <w:pPr>
              <w:pStyle w:val="10"/>
              <w:spacing w:line="360" w:lineRule="auto"/>
              <w:rPr>
                <w:rFonts w:asciiTheme="minorEastAsia" w:hAnsiTheme="minorEastAsia" w:eastAsiaTheme="minorEastAsia" w:cstheme="minorEastAsia"/>
                <w:sz w:val="28"/>
                <w:szCs w:val="28"/>
              </w:rPr>
            </w:pPr>
          </w:p>
        </w:tc>
        <w:tc>
          <w:tcPr>
            <w:tcW w:w="2130" w:type="dxa"/>
            <w:tcBorders>
              <w:bottom w:val="nil"/>
            </w:tcBorders>
          </w:tcPr>
          <w:p>
            <w:pPr>
              <w:pStyle w:val="10"/>
              <w:spacing w:line="360" w:lineRule="auto"/>
              <w:rPr>
                <w:rFonts w:asciiTheme="minorEastAsia" w:hAnsiTheme="minorEastAsia" w:eastAsiaTheme="minorEastAsia" w:cstheme="minorEastAsia"/>
                <w:sz w:val="28"/>
                <w:szCs w:val="28"/>
              </w:rPr>
            </w:pPr>
          </w:p>
        </w:tc>
        <w:tc>
          <w:tcPr>
            <w:tcW w:w="475" w:type="dxa"/>
            <w:tcBorders>
              <w:bottom w:val="nil"/>
              <w:right w:val="nil"/>
            </w:tcBorders>
          </w:tcPr>
          <w:p>
            <w:pPr>
              <w:pStyle w:val="10"/>
              <w:spacing w:line="360"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1）</w:t>
            </w:r>
          </w:p>
        </w:tc>
        <w:tc>
          <w:tcPr>
            <w:tcW w:w="5416" w:type="dxa"/>
            <w:tcBorders>
              <w:left w:val="nil"/>
              <w:bottom w:val="nil"/>
            </w:tcBorders>
          </w:tcPr>
          <w:p>
            <w:pPr>
              <w:pStyle w:val="10"/>
              <w:spacing w:line="360"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准确评估各项医疗检测所需时间，按时获取医疗报告并当面呈交或邮递方式将报告送递客户。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67"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bottom w:val="nil"/>
              <w:right w:val="nil"/>
            </w:tcBorders>
          </w:tcPr>
          <w:p>
            <w:pPr>
              <w:pStyle w:val="10"/>
              <w:spacing w:line="360" w:lineRule="auto"/>
              <w:rPr>
                <w:rFonts w:asciiTheme="minorEastAsia" w:hAnsiTheme="minorEastAsia" w:eastAsiaTheme="minorEastAsia" w:cstheme="minorEastAsia"/>
                <w:sz w:val="28"/>
                <w:szCs w:val="28"/>
              </w:rPr>
            </w:pPr>
          </w:p>
        </w:tc>
        <w:tc>
          <w:tcPr>
            <w:tcW w:w="5416" w:type="dxa"/>
            <w:tcBorders>
              <w:top w:val="nil"/>
              <w:left w:val="nil"/>
              <w:bottom w:val="nil"/>
            </w:tcBorders>
          </w:tcPr>
          <w:p>
            <w:pPr>
              <w:pStyle w:val="10"/>
              <w:spacing w:before="69" w:line="360" w:lineRule="auto"/>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67"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bottom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bottom w:val="nil"/>
              <w:right w:val="nil"/>
            </w:tcBorders>
          </w:tcPr>
          <w:p>
            <w:pPr>
              <w:pStyle w:val="10"/>
              <w:spacing w:before="70" w:line="360"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2）</w:t>
            </w:r>
          </w:p>
        </w:tc>
        <w:tc>
          <w:tcPr>
            <w:tcW w:w="5416" w:type="dxa"/>
            <w:tcBorders>
              <w:top w:val="nil"/>
              <w:left w:val="nil"/>
              <w:bottom w:val="nil"/>
            </w:tcBorders>
          </w:tcPr>
          <w:p>
            <w:pPr>
              <w:pStyle w:val="10"/>
              <w:spacing w:before="70" w:line="360"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指引客户自助机获取医学报告。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7" w:type="dxa"/>
            <w:tcBorders>
              <w:top w:val="nil"/>
              <w:bottom w:val="nil"/>
            </w:tcBorders>
          </w:tcPr>
          <w:p>
            <w:pPr>
              <w:pStyle w:val="10"/>
              <w:spacing w:before="69" w:line="360" w:lineRule="auto"/>
              <w:ind w:left="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4</w:t>
            </w:r>
          </w:p>
        </w:tc>
        <w:tc>
          <w:tcPr>
            <w:tcW w:w="2130" w:type="dxa"/>
            <w:tcBorders>
              <w:top w:val="nil"/>
              <w:bottom w:val="nil"/>
            </w:tcBorders>
          </w:tcPr>
          <w:p>
            <w:pPr>
              <w:pStyle w:val="10"/>
              <w:spacing w:before="69" w:line="360" w:lineRule="auto"/>
              <w:ind w:left="202" w:right="19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医学报告打印服务</w:t>
            </w:r>
          </w:p>
        </w:tc>
        <w:tc>
          <w:tcPr>
            <w:tcW w:w="475" w:type="dxa"/>
            <w:tcBorders>
              <w:top w:val="nil"/>
              <w:bottom w:val="nil"/>
              <w:right w:val="nil"/>
            </w:tcBorders>
          </w:tcPr>
          <w:p>
            <w:pPr>
              <w:pStyle w:val="10"/>
              <w:spacing w:before="69" w:line="360"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3）</w:t>
            </w:r>
          </w:p>
        </w:tc>
        <w:tc>
          <w:tcPr>
            <w:tcW w:w="5416" w:type="dxa"/>
            <w:tcBorders>
              <w:top w:val="nil"/>
              <w:left w:val="nil"/>
              <w:bottom w:val="nil"/>
            </w:tcBorders>
          </w:tcPr>
          <w:p>
            <w:pPr>
              <w:pStyle w:val="10"/>
              <w:spacing w:before="69" w:line="360"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具备向客户解释非专业部分医学报告的能力，保证与客户联系的及时性，如遇客户索取报告出现障碍，需及时向院方汇报。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7" w:type="dxa"/>
            <w:tcBorders>
              <w:top w:val="nil"/>
              <w:bottom w:val="nil"/>
            </w:tcBorders>
          </w:tcPr>
          <w:p>
            <w:pPr>
              <w:pStyle w:val="10"/>
              <w:spacing w:before="69" w:line="360" w:lineRule="auto"/>
              <w:ind w:left="9"/>
              <w:jc w:val="center"/>
              <w:rPr>
                <w:rFonts w:asciiTheme="minorEastAsia" w:hAnsiTheme="minorEastAsia" w:eastAsiaTheme="minorEastAsia" w:cstheme="minorEastAsia"/>
                <w:w w:val="99"/>
                <w:sz w:val="28"/>
                <w:szCs w:val="28"/>
              </w:rPr>
            </w:pPr>
          </w:p>
        </w:tc>
        <w:tc>
          <w:tcPr>
            <w:tcW w:w="2130" w:type="dxa"/>
            <w:tcBorders>
              <w:top w:val="nil"/>
              <w:bottom w:val="nil"/>
            </w:tcBorders>
          </w:tcPr>
          <w:p>
            <w:pPr>
              <w:pStyle w:val="10"/>
              <w:spacing w:before="69" w:line="360" w:lineRule="auto"/>
              <w:ind w:left="202" w:right="197"/>
              <w:jc w:val="center"/>
              <w:rPr>
                <w:rFonts w:asciiTheme="minorEastAsia" w:hAnsiTheme="minorEastAsia" w:eastAsiaTheme="minorEastAsia" w:cstheme="minorEastAsia"/>
                <w:sz w:val="28"/>
                <w:szCs w:val="28"/>
              </w:rPr>
            </w:pPr>
          </w:p>
        </w:tc>
        <w:tc>
          <w:tcPr>
            <w:tcW w:w="475" w:type="dxa"/>
            <w:tcBorders>
              <w:top w:val="nil"/>
              <w:bottom w:val="nil"/>
              <w:right w:val="nil"/>
            </w:tcBorders>
          </w:tcPr>
          <w:p>
            <w:pPr>
              <w:pStyle w:val="10"/>
              <w:spacing w:before="69" w:line="360" w:lineRule="auto"/>
              <w:ind w:right="45"/>
              <w:jc w:val="right"/>
              <w:rPr>
                <w:rFonts w:asciiTheme="minorEastAsia" w:hAnsiTheme="minorEastAsia" w:eastAsiaTheme="minorEastAsia" w:cstheme="minorEastAsia"/>
                <w:w w:val="95"/>
                <w:sz w:val="28"/>
                <w:szCs w:val="28"/>
              </w:rPr>
            </w:pPr>
          </w:p>
        </w:tc>
        <w:tc>
          <w:tcPr>
            <w:tcW w:w="5416" w:type="dxa"/>
            <w:tcBorders>
              <w:top w:val="nil"/>
              <w:left w:val="nil"/>
              <w:bottom w:val="nil"/>
            </w:tcBorders>
          </w:tcPr>
          <w:p>
            <w:pPr>
              <w:pStyle w:val="10"/>
              <w:spacing w:before="69" w:line="360" w:lineRule="auto"/>
              <w:ind w:left="57"/>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7" w:type="dxa"/>
            <w:tcBorders>
              <w:top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right w:val="nil"/>
            </w:tcBorders>
          </w:tcPr>
          <w:p>
            <w:pPr>
              <w:pStyle w:val="10"/>
              <w:spacing w:before="69" w:line="360" w:lineRule="auto"/>
              <w:ind w:right="840"/>
              <w:jc w:val="right"/>
              <w:rPr>
                <w:rFonts w:asciiTheme="minorEastAsia" w:hAnsiTheme="minorEastAsia" w:eastAsiaTheme="minorEastAsia" w:cstheme="minorEastAsia"/>
                <w:sz w:val="28"/>
                <w:szCs w:val="28"/>
              </w:rPr>
            </w:pPr>
          </w:p>
        </w:tc>
        <w:tc>
          <w:tcPr>
            <w:tcW w:w="5416" w:type="dxa"/>
            <w:tcBorders>
              <w:top w:val="nil"/>
              <w:left w:val="nil"/>
            </w:tcBorders>
          </w:tcPr>
          <w:p>
            <w:pPr>
              <w:pStyle w:val="10"/>
              <w:spacing w:before="69" w:line="360" w:lineRule="auto"/>
              <w:rPr>
                <w:rFonts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7" w:type="dxa"/>
            <w:tcBorders>
              <w:bottom w:val="nil"/>
            </w:tcBorders>
          </w:tcPr>
          <w:p>
            <w:pPr>
              <w:pStyle w:val="10"/>
              <w:spacing w:before="12" w:line="360" w:lineRule="auto"/>
              <w:rPr>
                <w:rFonts w:asciiTheme="minorEastAsia" w:hAnsiTheme="minorEastAsia" w:eastAsiaTheme="minorEastAsia" w:cstheme="minorEastAsia"/>
                <w:sz w:val="28"/>
                <w:szCs w:val="28"/>
              </w:rPr>
            </w:pPr>
          </w:p>
          <w:p>
            <w:pPr>
              <w:pStyle w:val="10"/>
              <w:spacing w:line="360" w:lineRule="auto"/>
              <w:ind w:left="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5</w:t>
            </w:r>
          </w:p>
        </w:tc>
        <w:tc>
          <w:tcPr>
            <w:tcW w:w="2130" w:type="dxa"/>
            <w:tcBorders>
              <w:bottom w:val="nil"/>
            </w:tcBorders>
          </w:tcPr>
          <w:p>
            <w:pPr>
              <w:pStyle w:val="10"/>
              <w:spacing w:before="12" w:line="360" w:lineRule="auto"/>
              <w:rPr>
                <w:rFonts w:asciiTheme="minorEastAsia" w:hAnsiTheme="minorEastAsia" w:eastAsiaTheme="minorEastAsia" w:cstheme="minorEastAsia"/>
                <w:sz w:val="28"/>
                <w:szCs w:val="28"/>
              </w:rPr>
            </w:pPr>
          </w:p>
          <w:p>
            <w:pPr>
              <w:pStyle w:val="10"/>
              <w:spacing w:line="360" w:lineRule="auto"/>
              <w:ind w:left="22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客户投诉处理服务</w:t>
            </w:r>
          </w:p>
        </w:tc>
        <w:tc>
          <w:tcPr>
            <w:tcW w:w="475" w:type="dxa"/>
            <w:tcBorders>
              <w:bottom w:val="nil"/>
              <w:right w:val="nil"/>
            </w:tcBorders>
          </w:tcPr>
          <w:p>
            <w:pPr>
              <w:pStyle w:val="10"/>
              <w:spacing w:line="360"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1）</w:t>
            </w:r>
          </w:p>
        </w:tc>
        <w:tc>
          <w:tcPr>
            <w:tcW w:w="5416" w:type="dxa"/>
            <w:tcBorders>
              <w:left w:val="nil"/>
              <w:bottom w:val="nil"/>
            </w:tcBorders>
          </w:tcPr>
          <w:p>
            <w:pPr>
              <w:pStyle w:val="10"/>
              <w:spacing w:line="360"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确保每个客户的投诉都能被妥善处理。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67" w:type="dxa"/>
            <w:tcBorders>
              <w:top w:val="nil"/>
            </w:tcBorders>
          </w:tcPr>
          <w:p>
            <w:pPr>
              <w:pStyle w:val="10"/>
              <w:spacing w:line="360" w:lineRule="auto"/>
              <w:rPr>
                <w:rFonts w:asciiTheme="minorEastAsia" w:hAnsiTheme="minorEastAsia" w:eastAsiaTheme="minorEastAsia" w:cstheme="minorEastAsia"/>
                <w:sz w:val="28"/>
                <w:szCs w:val="28"/>
              </w:rPr>
            </w:pPr>
          </w:p>
        </w:tc>
        <w:tc>
          <w:tcPr>
            <w:tcW w:w="2130" w:type="dxa"/>
            <w:tcBorders>
              <w:top w:val="nil"/>
            </w:tcBorders>
          </w:tcPr>
          <w:p>
            <w:pPr>
              <w:pStyle w:val="10"/>
              <w:spacing w:line="360" w:lineRule="auto"/>
              <w:rPr>
                <w:rFonts w:asciiTheme="minorEastAsia" w:hAnsiTheme="minorEastAsia" w:eastAsiaTheme="minorEastAsia" w:cstheme="minorEastAsia"/>
                <w:sz w:val="28"/>
                <w:szCs w:val="28"/>
              </w:rPr>
            </w:pPr>
          </w:p>
        </w:tc>
        <w:tc>
          <w:tcPr>
            <w:tcW w:w="475" w:type="dxa"/>
            <w:tcBorders>
              <w:top w:val="nil"/>
              <w:right w:val="nil"/>
            </w:tcBorders>
          </w:tcPr>
          <w:p>
            <w:pPr>
              <w:pStyle w:val="10"/>
              <w:spacing w:line="360" w:lineRule="auto"/>
              <w:ind w:right="45"/>
              <w:jc w:val="right"/>
              <w:rPr>
                <w:rFonts w:asciiTheme="minorEastAsia" w:hAnsiTheme="minorEastAsia" w:eastAsiaTheme="minorEastAsia" w:cstheme="minorEastAsia"/>
                <w:w w:val="95"/>
                <w:sz w:val="28"/>
                <w:szCs w:val="28"/>
              </w:rPr>
            </w:pPr>
            <w:r>
              <w:rPr>
                <w:rFonts w:hint="eastAsia" w:asciiTheme="minorEastAsia" w:hAnsiTheme="minorEastAsia" w:eastAsiaTheme="minorEastAsia" w:cstheme="minorEastAsia"/>
                <w:w w:val="95"/>
                <w:sz w:val="28"/>
                <w:szCs w:val="28"/>
              </w:rPr>
              <w:t>2）</w:t>
            </w:r>
          </w:p>
          <w:p>
            <w:pPr>
              <w:pStyle w:val="10"/>
              <w:spacing w:line="360" w:lineRule="auto"/>
              <w:ind w:right="4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lang w:val="en-US"/>
              </w:rPr>
              <w:t>3）</w:t>
            </w:r>
          </w:p>
        </w:tc>
        <w:tc>
          <w:tcPr>
            <w:tcW w:w="5416" w:type="dxa"/>
            <w:tcBorders>
              <w:top w:val="nil"/>
              <w:left w:val="nil"/>
            </w:tcBorders>
          </w:tcPr>
          <w:p>
            <w:pPr>
              <w:pStyle w:val="10"/>
              <w:spacing w:line="360"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客户投诉响应速度不超过2小时。</w:t>
            </w:r>
          </w:p>
          <w:p>
            <w:pPr>
              <w:pStyle w:val="10"/>
              <w:spacing w:line="360" w:lineRule="auto"/>
              <w:ind w:left="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建立持久的客户满意度监督体系。</w:t>
            </w:r>
          </w:p>
        </w:tc>
      </w:tr>
    </w:tbl>
    <w:p>
      <w:pPr>
        <w:pStyle w:val="4"/>
        <w:spacing w:before="1" w:line="360" w:lineRule="auto"/>
        <w:ind w:right="489"/>
        <w:rPr>
          <w:rFonts w:asciiTheme="minorEastAsia" w:hAnsiTheme="minorEastAsia" w:eastAsiaTheme="minorEastAsia" w:cstheme="minorEastAsia"/>
          <w:spacing w:val="-13"/>
          <w:sz w:val="28"/>
          <w:szCs w:val="28"/>
        </w:rPr>
      </w:pPr>
      <w:r>
        <w:rPr>
          <w:rFonts w:hint="eastAsia" w:asciiTheme="minorEastAsia" w:hAnsiTheme="minorEastAsia" w:eastAsiaTheme="minorEastAsia" w:cstheme="minorEastAsia"/>
          <w:spacing w:val="-13"/>
          <w:sz w:val="28"/>
          <w:szCs w:val="28"/>
        </w:rPr>
        <w:t>附则：</w:t>
      </w:r>
    </w:p>
    <w:p>
      <w:pPr>
        <w:pStyle w:val="4"/>
        <w:spacing w:before="1" w:line="360" w:lineRule="auto"/>
        <w:ind w:left="0" w:leftChars="0" w:right="489" w:firstLine="254" w:firstLineChars="100"/>
        <w:rPr>
          <w:rFonts w:asciiTheme="minorEastAsia" w:hAnsiTheme="minorEastAsia" w:eastAsiaTheme="minorEastAsia" w:cstheme="minorEastAsia"/>
          <w:spacing w:val="-13"/>
          <w:sz w:val="28"/>
          <w:szCs w:val="28"/>
        </w:rPr>
      </w:pPr>
      <w:r>
        <w:rPr>
          <w:rFonts w:hint="eastAsia" w:asciiTheme="minorEastAsia" w:hAnsiTheme="minorEastAsia" w:eastAsiaTheme="minorEastAsia" w:cstheme="minorEastAsia"/>
          <w:spacing w:val="-13"/>
          <w:sz w:val="28"/>
          <w:szCs w:val="28"/>
        </w:rPr>
        <w:t>1、工作场所不能拍照，与工作相关信息不能通过任何途径上传网络，客户个人信息不许对外泄露，否则其一切后果由中标人承担包括但不限于赔偿和法律责任。</w:t>
      </w:r>
    </w:p>
    <w:p>
      <w:pPr>
        <w:pStyle w:val="4"/>
        <w:spacing w:before="1" w:line="360" w:lineRule="auto"/>
        <w:ind w:left="1166" w:right="489" w:hanging="946"/>
        <w:rPr>
          <w:rFonts w:asciiTheme="minorEastAsia" w:hAnsiTheme="minorEastAsia" w:eastAsiaTheme="minorEastAsia" w:cstheme="minorEastAsia"/>
          <w:spacing w:val="-13"/>
          <w:sz w:val="28"/>
          <w:szCs w:val="28"/>
        </w:rPr>
      </w:pPr>
      <w:r>
        <w:rPr>
          <w:rFonts w:hint="eastAsia" w:asciiTheme="minorEastAsia" w:hAnsiTheme="minorEastAsia" w:eastAsiaTheme="minorEastAsia" w:cstheme="minorEastAsia"/>
          <w:spacing w:val="-13"/>
          <w:sz w:val="28"/>
          <w:szCs w:val="28"/>
        </w:rPr>
        <w:t>2、中标人在运作过程中所开展的其它增值服务，需获得采购人的同意。</w:t>
      </w:r>
    </w:p>
    <w:p>
      <w:pPr>
        <w:pStyle w:val="4"/>
        <w:spacing w:before="1" w:line="360" w:lineRule="auto"/>
        <w:ind w:left="1166" w:right="489" w:hanging="946"/>
        <w:rPr>
          <w:rFonts w:asciiTheme="minorEastAsia" w:hAnsiTheme="minorEastAsia" w:eastAsiaTheme="minorEastAsia" w:cstheme="minorEastAsia"/>
          <w:spacing w:val="-13"/>
          <w:sz w:val="28"/>
          <w:szCs w:val="28"/>
        </w:rPr>
      </w:pPr>
      <w:r>
        <w:rPr>
          <w:rFonts w:hint="eastAsia" w:asciiTheme="minorEastAsia" w:hAnsiTheme="minorEastAsia" w:eastAsiaTheme="minorEastAsia" w:cstheme="minorEastAsia"/>
          <w:spacing w:val="-13"/>
          <w:sz w:val="28"/>
          <w:szCs w:val="28"/>
        </w:rPr>
        <w:t>3、罚则：以上服务标准每项细则如有未能完成、达不到服务标准，各项扣除1分。每分扣罚标准按总服务费的1.5‰折价扣除。</w:t>
      </w:r>
    </w:p>
    <w:p>
      <w:pPr>
        <w:pStyle w:val="4"/>
        <w:spacing w:before="1" w:line="360" w:lineRule="auto"/>
        <w:ind w:left="1166" w:right="489" w:hanging="946"/>
        <w:rPr>
          <w:rFonts w:asciiTheme="minorEastAsia" w:hAnsiTheme="minorEastAsia" w:eastAsiaTheme="minorEastAsia" w:cstheme="minorEastAsia"/>
          <w:spacing w:val="-13"/>
          <w:sz w:val="28"/>
          <w:szCs w:val="28"/>
        </w:rPr>
      </w:pPr>
      <w:r>
        <w:rPr>
          <w:rFonts w:hint="eastAsia" w:asciiTheme="minorEastAsia" w:hAnsiTheme="minorEastAsia" w:eastAsiaTheme="minorEastAsia" w:cstheme="minorEastAsia"/>
          <w:spacing w:val="-13"/>
          <w:sz w:val="28"/>
          <w:szCs w:val="28"/>
        </w:rPr>
        <w:t>4、按指有错误等对医院或第三方造成伤害、岗位人数不足、迟到、早退 或被客户投诉，均视为不达标一人次。</w:t>
      </w:r>
    </w:p>
    <w:p>
      <w:pPr>
        <w:spacing w:line="360" w:lineRule="auto"/>
        <w:rPr>
          <w:rFonts w:asciiTheme="minorEastAsia" w:hAnsiTheme="minorEastAsia" w:eastAsiaTheme="minorEastAsia" w:cstheme="minorEastAsia"/>
          <w:sz w:val="28"/>
          <w:szCs w:val="28"/>
          <w:lang w:val="en-US"/>
        </w:rPr>
      </w:pPr>
    </w:p>
    <w:p>
      <w:pPr>
        <w:spacing w:line="360" w:lineRule="auto"/>
        <w:rPr>
          <w:rFonts w:asciiTheme="minorEastAsia" w:hAnsiTheme="minorEastAsia" w:eastAsiaTheme="minorEastAsia" w:cstheme="minorEastAsia"/>
          <w:sz w:val="28"/>
          <w:szCs w:val="28"/>
          <w:lang w:val="en-US"/>
        </w:rPr>
      </w:pPr>
    </w:p>
    <w:p>
      <w:pPr>
        <w:pStyle w:val="4"/>
        <w:spacing w:before="1" w:line="360" w:lineRule="auto"/>
        <w:ind w:left="1166" w:right="489" w:hanging="946"/>
        <w:rPr>
          <w:rFonts w:asciiTheme="minorEastAsia" w:hAnsiTheme="minorEastAsia" w:eastAsiaTheme="minorEastAsia" w:cstheme="minorEastAsia"/>
          <w:spacing w:val="-13"/>
          <w:sz w:val="28"/>
          <w:szCs w:val="28"/>
        </w:rPr>
      </w:pPr>
    </w:p>
    <w:p>
      <w:pPr>
        <w:pStyle w:val="2"/>
        <w:spacing w:before="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其他要求</w:t>
      </w:r>
    </w:p>
    <w:p>
      <w:pPr>
        <w:spacing w:before="138" w:line="360" w:lineRule="auto"/>
        <w:ind w:left="220" w:right="568" w:firstLine="42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w w:val="95"/>
          <w:sz w:val="28"/>
          <w:szCs w:val="28"/>
        </w:rPr>
        <w:t>★1、</w:t>
      </w:r>
      <w:r>
        <w:rPr>
          <w:rFonts w:hint="eastAsia" w:asciiTheme="minorEastAsia" w:hAnsiTheme="minorEastAsia" w:eastAsiaTheme="minorEastAsia" w:cstheme="minorEastAsia"/>
          <w:b/>
          <w:spacing w:val="-2"/>
          <w:w w:val="95"/>
          <w:sz w:val="28"/>
          <w:szCs w:val="28"/>
        </w:rPr>
        <w:t>所有入院服务员工都必须体检合格方可上岗，体检费用由中标人承担</w:t>
      </w:r>
      <w:r>
        <w:rPr>
          <w:rFonts w:hint="eastAsia" w:asciiTheme="minorEastAsia" w:hAnsiTheme="minorEastAsia" w:eastAsiaTheme="minorEastAsia" w:cstheme="minorEastAsia"/>
          <w:b/>
          <w:w w:val="95"/>
          <w:sz w:val="28"/>
          <w:szCs w:val="28"/>
        </w:rPr>
        <w:t>（需在投标文件中提供承</w:t>
      </w:r>
      <w:r>
        <w:rPr>
          <w:rFonts w:hint="eastAsia" w:asciiTheme="minorEastAsia" w:hAnsiTheme="minorEastAsia" w:eastAsiaTheme="minorEastAsia" w:cstheme="minorEastAsia"/>
          <w:b/>
          <w:sz w:val="28"/>
          <w:szCs w:val="28"/>
        </w:rPr>
        <w:t>诺函原件）。</w:t>
      </w:r>
    </w:p>
    <w:p>
      <w:pPr>
        <w:spacing w:line="360" w:lineRule="auto"/>
        <w:ind w:left="640" w:right="59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★2、中标人所招聘的人员不得有犯罪前科和不良行为记录（需在投标文件中提供承诺函原件）。</w:t>
      </w:r>
    </w:p>
    <w:p>
      <w:pPr>
        <w:spacing w:line="360" w:lineRule="auto"/>
        <w:ind w:left="640" w:right="5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中标人须自行解决后勤管理服务时所需的日常工具和劳保用品、办公用品，并能根据医院的行业形象要求及规范，保证文明工作。</w:t>
      </w:r>
    </w:p>
    <w:p>
      <w:pPr>
        <w:pStyle w:val="9"/>
        <w:tabs>
          <w:tab w:val="left" w:pos="852"/>
        </w:tabs>
        <w:spacing w:before="134" w:line="360" w:lineRule="auto"/>
        <w:ind w:left="640" w:right="5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rPr>
        <w:t>中标人须严格按照标准化的操作程序、完善的培训体系和质量控制体系完成本项目，以保证服务质量。</w:t>
      </w:r>
    </w:p>
    <w:p>
      <w:pPr>
        <w:pStyle w:val="9"/>
        <w:tabs>
          <w:tab w:val="left" w:pos="852"/>
        </w:tabs>
        <w:spacing w:before="1"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中标人有责任配合采购人接受上级领导部门的监督、检查，提供必须的资料。</w:t>
      </w:r>
    </w:p>
    <w:p>
      <w:pPr>
        <w:pStyle w:val="9"/>
        <w:tabs>
          <w:tab w:val="left" w:pos="852"/>
        </w:tabs>
        <w:spacing w:before="139" w:line="360" w:lineRule="auto"/>
        <w:ind w:left="640" w:right="5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lang w:val="en-US"/>
        </w:rPr>
        <w:t>6、</w:t>
      </w:r>
      <w:r>
        <w:rPr>
          <w:rFonts w:hint="eastAsia" w:asciiTheme="minorEastAsia" w:hAnsiTheme="minorEastAsia" w:eastAsiaTheme="minorEastAsia" w:cstheme="minorEastAsia"/>
          <w:sz w:val="28"/>
          <w:szCs w:val="28"/>
        </w:rPr>
        <w:t>中标人应严格遵守国家有关的法律、法规及行业标准规范管理项目服务，严格按照国家规定给所有的员工缴纳各种社会保险。</w:t>
      </w:r>
    </w:p>
    <w:p>
      <w:pPr>
        <w:pStyle w:val="9"/>
        <w:tabs>
          <w:tab w:val="left" w:pos="852"/>
        </w:tabs>
        <w:spacing w:line="360" w:lineRule="auto"/>
        <w:ind w:left="640" w:right="595"/>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lang w:val="en-US"/>
        </w:rPr>
        <w:t>7、</w:t>
      </w:r>
      <w:r>
        <w:rPr>
          <w:rFonts w:hint="eastAsia" w:asciiTheme="minorEastAsia" w:hAnsiTheme="minorEastAsia" w:eastAsiaTheme="minorEastAsia" w:cstheme="minorEastAsia"/>
          <w:w w:val="95"/>
          <w:sz w:val="28"/>
          <w:szCs w:val="28"/>
        </w:rPr>
        <w:t>中标人自行负责其招聘员工的一切工资、福利；如员工发生工伤、纠葛、打架斗殴、疾病乃至死亡的一切责任及费用由中标人全部负责；中标人要处理好内部员工纠纷问题，不得将矛盾激化或将矛盾推向采购人而影响医院的正常工作。如发生因中标人不及时或无能力处理内部矛盾等管理问题而影响到采购人正常工作秩序的，每次扣罚当月服务费5000-50000元，问题严重采购人有权终止合同，另选择其</w:t>
      </w:r>
      <w:r>
        <w:rPr>
          <w:rFonts w:hint="eastAsia" w:asciiTheme="minorEastAsia" w:hAnsiTheme="minorEastAsia" w:eastAsiaTheme="minorEastAsia" w:cstheme="minorEastAsia"/>
          <w:sz w:val="28"/>
          <w:szCs w:val="28"/>
        </w:rPr>
        <w:t>他服务公司，由此所导致的一切后果和损失由中标人负责。</w:t>
      </w:r>
    </w:p>
    <w:p>
      <w:pPr>
        <w:pStyle w:val="9"/>
        <w:tabs>
          <w:tab w:val="left" w:pos="852"/>
        </w:tabs>
        <w:spacing w:line="360" w:lineRule="auto"/>
        <w:ind w:left="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8、</w:t>
      </w:r>
      <w:r>
        <w:rPr>
          <w:rFonts w:hint="eastAsia" w:asciiTheme="minorEastAsia" w:hAnsiTheme="minorEastAsia" w:eastAsiaTheme="minorEastAsia" w:cstheme="minorEastAsia"/>
          <w:sz w:val="28"/>
          <w:szCs w:val="28"/>
        </w:rPr>
        <w:t>为保持人员队伍的稳定性，工资不得低于惠州市企业职工最低工资标准</w:t>
      </w:r>
    </w:p>
    <w:p>
      <w:pPr>
        <w:pStyle w:val="9"/>
        <w:tabs>
          <w:tab w:val="left" w:pos="852"/>
        </w:tabs>
        <w:spacing w:line="360" w:lineRule="auto"/>
        <w:ind w:left="839" w:leftChars="254" w:hanging="280" w:hanging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并按时发放。</w:t>
      </w:r>
    </w:p>
    <w:p>
      <w:pPr>
        <w:pStyle w:val="9"/>
        <w:tabs>
          <w:tab w:val="left" w:pos="852"/>
        </w:tabs>
        <w:spacing w:line="360" w:lineRule="auto"/>
        <w:ind w:left="339" w:leftChars="154" w:firstLine="266" w:firstLineChars="100"/>
        <w:rPr>
          <w:rFonts w:asciiTheme="minorEastAsia" w:hAnsiTheme="minorEastAsia" w:eastAsiaTheme="minorEastAsia" w:cstheme="minorEastAsia"/>
          <w:w w:val="95"/>
          <w:sz w:val="28"/>
          <w:szCs w:val="28"/>
        </w:rPr>
      </w:pPr>
      <w:r>
        <w:rPr>
          <w:rFonts w:hint="eastAsia" w:asciiTheme="minorEastAsia" w:hAnsiTheme="minorEastAsia" w:eastAsiaTheme="minorEastAsia" w:cstheme="minorEastAsia"/>
          <w:w w:val="95"/>
          <w:sz w:val="28"/>
          <w:szCs w:val="28"/>
          <w:lang w:val="en-US"/>
        </w:rPr>
        <w:t>9、</w:t>
      </w:r>
      <w:r>
        <w:rPr>
          <w:rFonts w:hint="eastAsia" w:asciiTheme="minorEastAsia" w:hAnsiTheme="minorEastAsia" w:eastAsiaTheme="minorEastAsia" w:cstheme="minorEastAsia"/>
          <w:w w:val="95"/>
          <w:sz w:val="28"/>
          <w:szCs w:val="28"/>
        </w:rPr>
        <w:t>为了保证工作质量和员工身体健康，中标人必须按照劳动法安排员工作时间。</w:t>
      </w:r>
    </w:p>
    <w:p>
      <w:pPr>
        <w:pStyle w:val="9"/>
        <w:tabs>
          <w:tab w:val="left" w:pos="852"/>
        </w:tabs>
        <w:spacing w:line="360" w:lineRule="auto"/>
        <w:ind w:left="339" w:leftChars="154" w:firstLine="266"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员工加班或顶班必</w:t>
      </w:r>
      <w:r>
        <w:rPr>
          <w:rFonts w:hint="eastAsia" w:asciiTheme="minorEastAsia" w:hAnsiTheme="minorEastAsia" w:eastAsiaTheme="minorEastAsia" w:cstheme="minorEastAsia"/>
          <w:sz w:val="28"/>
          <w:szCs w:val="28"/>
        </w:rPr>
        <w:t>须按劳动法规定支付加班费给员工，中标人要根据采购人工</w:t>
      </w:r>
    </w:p>
    <w:p>
      <w:pPr>
        <w:pStyle w:val="9"/>
        <w:tabs>
          <w:tab w:val="left" w:pos="852"/>
        </w:tabs>
        <w:spacing w:line="360" w:lineRule="auto"/>
        <w:ind w:left="339" w:leftChars="154"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作特点和各科工作量做好人力调配。</w:t>
      </w:r>
    </w:p>
    <w:p>
      <w:pPr>
        <w:pStyle w:val="9"/>
        <w:tabs>
          <w:tab w:val="left" w:pos="958"/>
        </w:tabs>
        <w:spacing w:line="360" w:lineRule="auto"/>
        <w:ind w:left="640" w:right="56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w w:val="95"/>
          <w:sz w:val="28"/>
          <w:szCs w:val="28"/>
          <w:lang w:val="en-US"/>
        </w:rPr>
        <w:t>10、</w:t>
      </w:r>
      <w:r>
        <w:rPr>
          <w:rFonts w:hint="eastAsia" w:asciiTheme="minorEastAsia" w:hAnsiTheme="minorEastAsia" w:eastAsiaTheme="minorEastAsia" w:cstheme="minorEastAsia"/>
          <w:spacing w:val="-5"/>
          <w:w w:val="95"/>
          <w:sz w:val="28"/>
          <w:szCs w:val="28"/>
        </w:rPr>
        <w:t>若发生劳动争议均由中标人自行解决，采购人无任何连带关系和责任；如发生违反计划生育规定</w:t>
      </w:r>
      <w:r>
        <w:rPr>
          <w:rFonts w:hint="eastAsia" w:asciiTheme="minorEastAsia" w:hAnsiTheme="minorEastAsia" w:eastAsiaTheme="minorEastAsia" w:cstheme="minorEastAsia"/>
          <w:spacing w:val="-5"/>
          <w:sz w:val="28"/>
          <w:szCs w:val="28"/>
        </w:rPr>
        <w:t>的，由中标人自行解决并承担所有责任，采购人无任何连带关系和责任。</w:t>
      </w:r>
    </w:p>
    <w:p>
      <w:pPr>
        <w:pStyle w:val="9"/>
        <w:tabs>
          <w:tab w:val="left" w:pos="958"/>
        </w:tabs>
        <w:spacing w:line="360" w:lineRule="auto"/>
        <w:ind w:left="640" w:right="56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w w:val="95"/>
          <w:sz w:val="28"/>
          <w:szCs w:val="28"/>
          <w:lang w:val="en-US"/>
        </w:rPr>
        <w:t>11、</w:t>
      </w:r>
      <w:r>
        <w:rPr>
          <w:rFonts w:hint="eastAsia" w:asciiTheme="minorEastAsia" w:hAnsiTheme="minorEastAsia" w:eastAsiaTheme="minorEastAsia" w:cstheme="minorEastAsia"/>
          <w:spacing w:val="-3"/>
          <w:w w:val="95"/>
          <w:sz w:val="28"/>
          <w:szCs w:val="28"/>
        </w:rPr>
        <w:t>中标人签订合同后正式进场前必须做好员工上岗前培训工作，并跟原服务公司做好交接工作，确</w:t>
      </w:r>
      <w:r>
        <w:rPr>
          <w:rFonts w:hint="eastAsia" w:asciiTheme="minorEastAsia" w:hAnsiTheme="minorEastAsia" w:eastAsiaTheme="minorEastAsia" w:cstheme="minorEastAsia"/>
          <w:spacing w:val="-3"/>
          <w:sz w:val="28"/>
          <w:szCs w:val="28"/>
        </w:rPr>
        <w:t>保采购人正常工作。</w:t>
      </w:r>
    </w:p>
    <w:p>
      <w:pPr>
        <w:pStyle w:val="2"/>
        <w:spacing w:before="143"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四、付款方式</w:t>
      </w:r>
    </w:p>
    <w:p>
      <w:pPr>
        <w:pStyle w:val="4"/>
        <w:spacing w:before="70" w:line="360" w:lineRule="auto"/>
        <w:ind w:left="559" w:leftChars="254" w:right="595" w:firstLine="53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按月度结算，中标人于每月10日前将上月劳务服务总费用的等额发票送达采购人，经采购人核实无</w:t>
      </w:r>
      <w:r>
        <w:rPr>
          <w:rFonts w:hint="eastAsia" w:asciiTheme="minorEastAsia" w:hAnsiTheme="minorEastAsia" w:eastAsiaTheme="minorEastAsia" w:cstheme="minorEastAsia"/>
          <w:sz w:val="28"/>
          <w:szCs w:val="28"/>
        </w:rPr>
        <w:t>误后，采购人于收到发票后30天内付款。</w:t>
      </w:r>
    </w:p>
    <w:p>
      <w:pPr>
        <w:pStyle w:val="4"/>
        <w:spacing w:line="360" w:lineRule="auto"/>
        <w:ind w:right="595" w:firstLine="1064" w:firstLineChars="400"/>
        <w:rPr>
          <w:rFonts w:asciiTheme="minorEastAsia" w:hAnsiTheme="minorEastAsia" w:eastAsiaTheme="minorEastAsia" w:cstheme="minorEastAsia"/>
          <w:w w:val="95"/>
          <w:sz w:val="28"/>
          <w:szCs w:val="28"/>
          <w:lang w:val="en-US"/>
        </w:rPr>
      </w:pPr>
      <w:r>
        <w:rPr>
          <w:rFonts w:hint="eastAsia" w:asciiTheme="minorEastAsia" w:hAnsiTheme="minorEastAsia" w:eastAsiaTheme="minorEastAsia" w:cstheme="minorEastAsia"/>
          <w:w w:val="95"/>
          <w:sz w:val="28"/>
          <w:szCs w:val="28"/>
        </w:rPr>
        <w:t>中标人未按要求安排足够的服务人员，出现缺岗、缺勤、不按规定作业等现</w:t>
      </w:r>
    </w:p>
    <w:p>
      <w:pPr>
        <w:pStyle w:val="4"/>
        <w:spacing w:line="360" w:lineRule="auto"/>
        <w:ind w:left="559" w:leftChars="254" w:right="5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象时，造成采购人受到</w:t>
      </w:r>
      <w:r>
        <w:rPr>
          <w:rFonts w:hint="eastAsia" w:asciiTheme="minorEastAsia" w:hAnsiTheme="minorEastAsia" w:eastAsiaTheme="minorEastAsia" w:cstheme="minorEastAsia"/>
          <w:sz w:val="28"/>
          <w:szCs w:val="28"/>
        </w:rPr>
        <w:t>扣罚及其他经济损失的，采购人有权按扣罚金额及损失金额双倍从中标人当月服务费中给予扣除。</w:t>
      </w:r>
    </w:p>
    <w:p>
      <w:pPr>
        <w:rPr>
          <w:rFonts w:asciiTheme="minorEastAsia" w:hAnsiTheme="minorEastAsia" w:eastAsiaTheme="minorEastAsia" w:cstheme="minorEastAsia"/>
          <w:sz w:val="28"/>
          <w:szCs w:val="28"/>
        </w:rPr>
        <w:sectPr>
          <w:pgSz w:w="11910" w:h="16840"/>
          <w:pgMar w:top="1020" w:right="500" w:bottom="1180" w:left="1140" w:header="821" w:footer="994" w:gutter="0"/>
          <w:cols w:space="720" w:num="1"/>
        </w:sectPr>
      </w:pPr>
    </w:p>
    <w:p>
      <w:pPr>
        <w:pStyle w:val="4"/>
        <w:spacing w:line="360" w:lineRule="auto"/>
        <w:rPr>
          <w:rFonts w:asciiTheme="minorEastAsia" w:hAnsiTheme="minorEastAsia" w:eastAsiaTheme="minorEastAsia" w:cstheme="minorEastAsia"/>
          <w:sz w:val="28"/>
          <w:szCs w:val="28"/>
        </w:rPr>
      </w:pPr>
    </w:p>
    <w:p>
      <w:pPr>
        <w:pStyle w:val="2"/>
        <w:spacing w:before="150" w:line="360" w:lineRule="auto"/>
        <w:ind w:left="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五、采购人配合条件</w:t>
      </w:r>
    </w:p>
    <w:p>
      <w:pPr>
        <w:pStyle w:val="4"/>
        <w:spacing w:before="141" w:line="360" w:lineRule="auto"/>
        <w:ind w:left="285" w:right="636" w:firstLine="3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如有需要，投标人可在投标文件中列明需由采购人配合的内容，所列配合内容采购人将尽量配合解决，但不代表采购人全部接受，采购人有权全部或部分拒绝投标人提出的配合条件。</w:t>
      </w:r>
    </w:p>
    <w:p/>
    <w:p>
      <w:pPr>
        <w:pStyle w:val="9"/>
        <w:tabs>
          <w:tab w:val="left" w:pos="852"/>
        </w:tabs>
        <w:spacing w:line="360" w:lineRule="auto"/>
        <w:ind w:left="640" w:right="595"/>
        <w:jc w:val="both"/>
        <w:rPr>
          <w:rFonts w:asciiTheme="minorEastAsia" w:hAnsiTheme="minorEastAsia" w:eastAsiaTheme="minorEastAsia" w:cstheme="minorEastAsia"/>
          <w:sz w:val="28"/>
          <w:szCs w:val="28"/>
          <w:lang w:val="en-US"/>
        </w:rPr>
        <w:sectPr>
          <w:pgSz w:w="11910" w:h="16840"/>
          <w:pgMar w:top="1020" w:right="500" w:bottom="1180" w:left="1140" w:header="821" w:footer="994" w:gutter="0"/>
          <w:cols w:space="720" w:num="1"/>
        </w:sectPr>
      </w:pPr>
    </w:p>
    <w:p/>
    <w:sectPr>
      <w:pgSz w:w="11910" w:h="16840"/>
      <w:pgMar w:top="1020" w:right="500" w:bottom="1180" w:left="1140" w:header="821"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C2734"/>
    <w:multiLevelType w:val="singleLevel"/>
    <w:tmpl w:val="A49C2734"/>
    <w:lvl w:ilvl="0" w:tentative="0">
      <w:start w:val="4"/>
      <w:numFmt w:val="decimal"/>
      <w:suff w:val="nothing"/>
      <w:lvlText w:val="%1）"/>
      <w:lvlJc w:val="left"/>
    </w:lvl>
  </w:abstractNum>
  <w:abstractNum w:abstractNumId="1">
    <w:nsid w:val="F5ECA6C9"/>
    <w:multiLevelType w:val="singleLevel"/>
    <w:tmpl w:val="F5ECA6C9"/>
    <w:lvl w:ilvl="0" w:tentative="0">
      <w:start w:val="3"/>
      <w:numFmt w:val="decimal"/>
      <w:suff w:val="space"/>
      <w:lvlText w:val="%1)"/>
      <w:lvlJc w:val="left"/>
    </w:lvl>
  </w:abstractNum>
  <w:abstractNum w:abstractNumId="2">
    <w:nsid w:val="4C1BAE26"/>
    <w:multiLevelType w:val="multilevel"/>
    <w:tmpl w:val="4C1BAE26"/>
    <w:lvl w:ilvl="0" w:tentative="0">
      <w:start w:val="1"/>
      <w:numFmt w:val="decimal"/>
      <w:lvlText w:val="%1）"/>
      <w:lvlJc w:val="left"/>
      <w:pPr>
        <w:ind w:left="527" w:hanging="36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6" w:hanging="360"/>
      </w:pPr>
      <w:rPr>
        <w:rFonts w:hint="default"/>
        <w:lang w:val="zh-CN" w:eastAsia="zh-CN" w:bidi="zh-CN"/>
      </w:rPr>
    </w:lvl>
    <w:lvl w:ilvl="2" w:tentative="0">
      <w:start w:val="0"/>
      <w:numFmt w:val="bullet"/>
      <w:lvlText w:val="•"/>
      <w:lvlJc w:val="left"/>
      <w:pPr>
        <w:ind w:left="1592" w:hanging="360"/>
      </w:pPr>
      <w:rPr>
        <w:rFonts w:hint="default"/>
        <w:lang w:val="zh-CN" w:eastAsia="zh-CN" w:bidi="zh-CN"/>
      </w:rPr>
    </w:lvl>
    <w:lvl w:ilvl="3" w:tentative="0">
      <w:start w:val="0"/>
      <w:numFmt w:val="bullet"/>
      <w:lvlText w:val="•"/>
      <w:lvlJc w:val="left"/>
      <w:pPr>
        <w:ind w:left="2128" w:hanging="360"/>
      </w:pPr>
      <w:rPr>
        <w:rFonts w:hint="default"/>
        <w:lang w:val="zh-CN" w:eastAsia="zh-CN" w:bidi="zh-CN"/>
      </w:rPr>
    </w:lvl>
    <w:lvl w:ilvl="4" w:tentative="0">
      <w:start w:val="0"/>
      <w:numFmt w:val="bullet"/>
      <w:lvlText w:val="•"/>
      <w:lvlJc w:val="left"/>
      <w:pPr>
        <w:ind w:left="2664" w:hanging="360"/>
      </w:pPr>
      <w:rPr>
        <w:rFonts w:hint="default"/>
        <w:lang w:val="zh-CN" w:eastAsia="zh-CN" w:bidi="zh-CN"/>
      </w:rPr>
    </w:lvl>
    <w:lvl w:ilvl="5" w:tentative="0">
      <w:start w:val="0"/>
      <w:numFmt w:val="bullet"/>
      <w:lvlText w:val="•"/>
      <w:lvlJc w:val="left"/>
      <w:pPr>
        <w:ind w:left="3200" w:hanging="360"/>
      </w:pPr>
      <w:rPr>
        <w:rFonts w:hint="default"/>
        <w:lang w:val="zh-CN" w:eastAsia="zh-CN" w:bidi="zh-CN"/>
      </w:rPr>
    </w:lvl>
    <w:lvl w:ilvl="6" w:tentative="0">
      <w:start w:val="0"/>
      <w:numFmt w:val="bullet"/>
      <w:lvlText w:val="•"/>
      <w:lvlJc w:val="left"/>
      <w:pPr>
        <w:ind w:left="3736" w:hanging="360"/>
      </w:pPr>
      <w:rPr>
        <w:rFonts w:hint="default"/>
        <w:lang w:val="zh-CN" w:eastAsia="zh-CN" w:bidi="zh-CN"/>
      </w:rPr>
    </w:lvl>
    <w:lvl w:ilvl="7" w:tentative="0">
      <w:start w:val="0"/>
      <w:numFmt w:val="bullet"/>
      <w:lvlText w:val="•"/>
      <w:lvlJc w:val="left"/>
      <w:pPr>
        <w:ind w:left="4272" w:hanging="360"/>
      </w:pPr>
      <w:rPr>
        <w:rFonts w:hint="default"/>
        <w:lang w:val="zh-CN" w:eastAsia="zh-CN" w:bidi="zh-CN"/>
      </w:rPr>
    </w:lvl>
    <w:lvl w:ilvl="8" w:tentative="0">
      <w:start w:val="0"/>
      <w:numFmt w:val="bullet"/>
      <w:lvlText w:val="•"/>
      <w:lvlJc w:val="left"/>
      <w:pPr>
        <w:ind w:left="4808" w:hanging="360"/>
      </w:pPr>
      <w:rPr>
        <w:rFonts w:hint="default"/>
        <w:lang w:val="zh-CN" w:eastAsia="zh-CN" w:bidi="zh-CN"/>
      </w:rPr>
    </w:lvl>
  </w:abstractNum>
  <w:abstractNum w:abstractNumId="3">
    <w:nsid w:val="60382F6E"/>
    <w:multiLevelType w:val="multilevel"/>
    <w:tmpl w:val="60382F6E"/>
    <w:lvl w:ilvl="0" w:tentative="0">
      <w:start w:val="1"/>
      <w:numFmt w:val="decimal"/>
      <w:lvlText w:val="%1）"/>
      <w:lvlJc w:val="left"/>
      <w:pPr>
        <w:ind w:left="527"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6" w:hanging="420"/>
      </w:pPr>
      <w:rPr>
        <w:rFonts w:hint="default"/>
        <w:lang w:val="zh-CN" w:eastAsia="zh-CN" w:bidi="zh-CN"/>
      </w:rPr>
    </w:lvl>
    <w:lvl w:ilvl="2" w:tentative="0">
      <w:start w:val="0"/>
      <w:numFmt w:val="bullet"/>
      <w:lvlText w:val="•"/>
      <w:lvlJc w:val="left"/>
      <w:pPr>
        <w:ind w:left="1592" w:hanging="420"/>
      </w:pPr>
      <w:rPr>
        <w:rFonts w:hint="default"/>
        <w:lang w:val="zh-CN" w:eastAsia="zh-CN" w:bidi="zh-CN"/>
      </w:rPr>
    </w:lvl>
    <w:lvl w:ilvl="3" w:tentative="0">
      <w:start w:val="0"/>
      <w:numFmt w:val="bullet"/>
      <w:lvlText w:val="•"/>
      <w:lvlJc w:val="left"/>
      <w:pPr>
        <w:ind w:left="2128" w:hanging="420"/>
      </w:pPr>
      <w:rPr>
        <w:rFonts w:hint="default"/>
        <w:lang w:val="zh-CN" w:eastAsia="zh-CN" w:bidi="zh-CN"/>
      </w:rPr>
    </w:lvl>
    <w:lvl w:ilvl="4" w:tentative="0">
      <w:start w:val="0"/>
      <w:numFmt w:val="bullet"/>
      <w:lvlText w:val="•"/>
      <w:lvlJc w:val="left"/>
      <w:pPr>
        <w:ind w:left="2664" w:hanging="420"/>
      </w:pPr>
      <w:rPr>
        <w:rFonts w:hint="default"/>
        <w:lang w:val="zh-CN" w:eastAsia="zh-CN" w:bidi="zh-CN"/>
      </w:rPr>
    </w:lvl>
    <w:lvl w:ilvl="5" w:tentative="0">
      <w:start w:val="0"/>
      <w:numFmt w:val="bullet"/>
      <w:lvlText w:val="•"/>
      <w:lvlJc w:val="left"/>
      <w:pPr>
        <w:ind w:left="3200" w:hanging="420"/>
      </w:pPr>
      <w:rPr>
        <w:rFonts w:hint="default"/>
        <w:lang w:val="zh-CN" w:eastAsia="zh-CN" w:bidi="zh-CN"/>
      </w:rPr>
    </w:lvl>
    <w:lvl w:ilvl="6" w:tentative="0">
      <w:start w:val="0"/>
      <w:numFmt w:val="bullet"/>
      <w:lvlText w:val="•"/>
      <w:lvlJc w:val="left"/>
      <w:pPr>
        <w:ind w:left="3736" w:hanging="420"/>
      </w:pPr>
      <w:rPr>
        <w:rFonts w:hint="default"/>
        <w:lang w:val="zh-CN" w:eastAsia="zh-CN" w:bidi="zh-CN"/>
      </w:rPr>
    </w:lvl>
    <w:lvl w:ilvl="7" w:tentative="0">
      <w:start w:val="0"/>
      <w:numFmt w:val="bullet"/>
      <w:lvlText w:val="•"/>
      <w:lvlJc w:val="left"/>
      <w:pPr>
        <w:ind w:left="4272" w:hanging="420"/>
      </w:pPr>
      <w:rPr>
        <w:rFonts w:hint="default"/>
        <w:lang w:val="zh-CN" w:eastAsia="zh-CN" w:bidi="zh-CN"/>
      </w:rPr>
    </w:lvl>
    <w:lvl w:ilvl="8" w:tentative="0">
      <w:start w:val="0"/>
      <w:numFmt w:val="bullet"/>
      <w:lvlText w:val="•"/>
      <w:lvlJc w:val="left"/>
      <w:pPr>
        <w:ind w:left="4808" w:hanging="420"/>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167B"/>
    <w:rsid w:val="000577DE"/>
    <w:rsid w:val="000B2213"/>
    <w:rsid w:val="00166A97"/>
    <w:rsid w:val="00193F87"/>
    <w:rsid w:val="00241881"/>
    <w:rsid w:val="0029024B"/>
    <w:rsid w:val="002C5A92"/>
    <w:rsid w:val="00352732"/>
    <w:rsid w:val="003D042A"/>
    <w:rsid w:val="00414203"/>
    <w:rsid w:val="004649A3"/>
    <w:rsid w:val="004B7061"/>
    <w:rsid w:val="004D67C0"/>
    <w:rsid w:val="0050179B"/>
    <w:rsid w:val="005C32EC"/>
    <w:rsid w:val="00611D82"/>
    <w:rsid w:val="0061548D"/>
    <w:rsid w:val="006162B3"/>
    <w:rsid w:val="00777BD5"/>
    <w:rsid w:val="007B769E"/>
    <w:rsid w:val="00837924"/>
    <w:rsid w:val="0085110B"/>
    <w:rsid w:val="0087214B"/>
    <w:rsid w:val="008875E7"/>
    <w:rsid w:val="008C142C"/>
    <w:rsid w:val="008D6170"/>
    <w:rsid w:val="00910B1D"/>
    <w:rsid w:val="00993552"/>
    <w:rsid w:val="009C167B"/>
    <w:rsid w:val="00A018AC"/>
    <w:rsid w:val="00AD48EC"/>
    <w:rsid w:val="00B36EE9"/>
    <w:rsid w:val="00BA5F92"/>
    <w:rsid w:val="00C000B9"/>
    <w:rsid w:val="00C00CC6"/>
    <w:rsid w:val="00CD7C53"/>
    <w:rsid w:val="00D67D58"/>
    <w:rsid w:val="00DF0FEE"/>
    <w:rsid w:val="00E54D54"/>
    <w:rsid w:val="00E74FC3"/>
    <w:rsid w:val="00F21BFD"/>
    <w:rsid w:val="00F841C8"/>
    <w:rsid w:val="00FB1117"/>
    <w:rsid w:val="029F112E"/>
    <w:rsid w:val="047706D1"/>
    <w:rsid w:val="10410ADB"/>
    <w:rsid w:val="10DE46AE"/>
    <w:rsid w:val="126853D9"/>
    <w:rsid w:val="12E55AC2"/>
    <w:rsid w:val="18B41827"/>
    <w:rsid w:val="1A1164D5"/>
    <w:rsid w:val="1A161272"/>
    <w:rsid w:val="1A5828DA"/>
    <w:rsid w:val="1B0E161E"/>
    <w:rsid w:val="1B221AB1"/>
    <w:rsid w:val="1C2B377C"/>
    <w:rsid w:val="1D1C5D9D"/>
    <w:rsid w:val="1FC65AB7"/>
    <w:rsid w:val="21F61F00"/>
    <w:rsid w:val="228A0529"/>
    <w:rsid w:val="2B1C5C91"/>
    <w:rsid w:val="317B32BB"/>
    <w:rsid w:val="31D178F2"/>
    <w:rsid w:val="32083804"/>
    <w:rsid w:val="329F5EBF"/>
    <w:rsid w:val="35B355C0"/>
    <w:rsid w:val="376A0069"/>
    <w:rsid w:val="37D61AE9"/>
    <w:rsid w:val="3AC409B7"/>
    <w:rsid w:val="3B962D83"/>
    <w:rsid w:val="41317A9A"/>
    <w:rsid w:val="41F21406"/>
    <w:rsid w:val="42514501"/>
    <w:rsid w:val="43830AC2"/>
    <w:rsid w:val="4393756D"/>
    <w:rsid w:val="4A491474"/>
    <w:rsid w:val="513724F7"/>
    <w:rsid w:val="53302D0B"/>
    <w:rsid w:val="54142D3B"/>
    <w:rsid w:val="63F61739"/>
    <w:rsid w:val="65293E32"/>
    <w:rsid w:val="669D6BC7"/>
    <w:rsid w:val="6B394C5A"/>
    <w:rsid w:val="717620E7"/>
    <w:rsid w:val="72E606C2"/>
    <w:rsid w:val="730F2CE5"/>
    <w:rsid w:val="772B7F47"/>
    <w:rsid w:val="791C6240"/>
    <w:rsid w:val="7AA400E5"/>
    <w:rsid w:val="7E8431B5"/>
    <w:rsid w:val="7F2B3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qFormat/>
    <w:uiPriority w:val="1"/>
    <w:pPr>
      <w:ind w:left="220"/>
      <w:outlineLvl w:val="2"/>
    </w:pPr>
    <w:rPr>
      <w:b/>
      <w:bCs/>
      <w:sz w:val="21"/>
      <w:szCs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1"/>
    <w:rPr>
      <w:sz w:val="21"/>
      <w:szCs w:val="21"/>
    </w:rPr>
  </w:style>
  <w:style w:type="paragraph" w:styleId="5">
    <w:name w:val="Balloon Text"/>
    <w:basedOn w:val="1"/>
    <w:link w:val="11"/>
    <w:qFormat/>
    <w:uiPriority w:val="0"/>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1"/>
    <w:pPr>
      <w:ind w:left="220"/>
    </w:pPr>
  </w:style>
  <w:style w:type="paragraph" w:customStyle="1" w:styleId="10">
    <w:name w:val="Table Paragraph"/>
    <w:basedOn w:val="1"/>
    <w:qFormat/>
    <w:uiPriority w:val="1"/>
  </w:style>
  <w:style w:type="character" w:customStyle="1" w:styleId="11">
    <w:name w:val="批注框文本 Char"/>
    <w:basedOn w:val="8"/>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916</Words>
  <Characters>5225</Characters>
  <Lines>43</Lines>
  <Paragraphs>12</Paragraphs>
  <TotalTime>7</TotalTime>
  <ScaleCrop>false</ScaleCrop>
  <LinksUpToDate>false</LinksUpToDate>
  <CharactersWithSpaces>6129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2021-01-13T09:30:00Z</dcterms:created>
  <dc:creator>Administrator</dc:creator>
  <cp:lastModifiedBy>曾小兰</cp:lastModifiedBy>
  <cp:lastPrinted>2021-01-22T03:58:42Z</cp:lastPrinted>
  <dcterms:modified xsi:type="dcterms:W3CDTF">2021-01-22T04:00:03Z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